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C7D08" w14:textId="77777777" w:rsidR="008B4A0A" w:rsidRDefault="003E5C03">
      <w:pPr>
        <w:pStyle w:val="Header"/>
        <w:tabs>
          <w:tab w:val="clear" w:pos="4320"/>
          <w:tab w:val="clear" w:pos="8640"/>
        </w:tabs>
      </w:pPr>
      <w:bookmarkStart w:id="0" w:name="_GoBack"/>
      <w:bookmarkEnd w:id="0"/>
      <w:r w:rsidRPr="003D6656">
        <w:rPr>
          <w:noProof/>
          <w:lang w:val="en-US" w:eastAsia="en-US"/>
        </w:rPr>
        <w:drawing>
          <wp:inline distT="0" distB="0" distL="0" distR="0" wp14:anchorId="2E0D018A" wp14:editId="4400E5B9">
            <wp:extent cx="1485900" cy="571500"/>
            <wp:effectExtent l="0" t="0" r="0" b="0"/>
            <wp:docPr id="4" name="Picture 1" descr="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p>
    <w:p w14:paraId="11759452" w14:textId="77777777" w:rsidR="008B4A0A" w:rsidRDefault="008B4A0A"/>
    <w:p w14:paraId="66C7BD4B" w14:textId="77777777" w:rsidR="008B4A0A" w:rsidRDefault="008B4A0A"/>
    <w:p w14:paraId="17B5C63B" w14:textId="77777777" w:rsidR="008B4A0A" w:rsidRDefault="008B4A0A"/>
    <w:p w14:paraId="3382930F" w14:textId="77777777" w:rsidR="008B4A0A" w:rsidRPr="00513775" w:rsidRDefault="008B4A0A">
      <w:pPr>
        <w:rPr>
          <w:sz w:val="28"/>
        </w:rPr>
      </w:pPr>
    </w:p>
    <w:p w14:paraId="3350872F" w14:textId="77777777" w:rsidR="00513775" w:rsidRDefault="00513775" w:rsidP="00513775">
      <w:pPr>
        <w:jc w:val="center"/>
        <w:rPr>
          <w:b/>
          <w:color w:val="0070C0"/>
          <w:sz w:val="44"/>
        </w:rPr>
      </w:pPr>
    </w:p>
    <w:p w14:paraId="335EDCA8" w14:textId="77777777" w:rsidR="00513775" w:rsidRPr="004C553C" w:rsidRDefault="00137D69" w:rsidP="00513775">
      <w:pPr>
        <w:jc w:val="center"/>
        <w:rPr>
          <w:b/>
          <w:color w:val="1F3864" w:themeColor="accent5" w:themeShade="80"/>
          <w:sz w:val="44"/>
        </w:rPr>
      </w:pPr>
      <w:r w:rsidRPr="004C553C">
        <w:rPr>
          <w:b/>
          <w:color w:val="1F3864" w:themeColor="accent5" w:themeShade="80"/>
          <w:sz w:val="44"/>
        </w:rPr>
        <w:t>The Economic Impact of Sail Baltimore</w:t>
      </w:r>
    </w:p>
    <w:p w14:paraId="5943F6EA" w14:textId="77777777" w:rsidR="00513775" w:rsidRPr="004C553C" w:rsidRDefault="00513775" w:rsidP="00513775">
      <w:pPr>
        <w:jc w:val="center"/>
        <w:rPr>
          <w:color w:val="1F3864" w:themeColor="accent5" w:themeShade="80"/>
        </w:rPr>
      </w:pPr>
    </w:p>
    <w:p w14:paraId="1F645FB4" w14:textId="77777777" w:rsidR="00513775" w:rsidRPr="004C553C" w:rsidRDefault="00513775" w:rsidP="00513775">
      <w:pPr>
        <w:jc w:val="center"/>
        <w:rPr>
          <w:color w:val="1F3864" w:themeColor="accent5" w:themeShade="80"/>
          <w:sz w:val="44"/>
        </w:rPr>
      </w:pPr>
      <w:bookmarkStart w:id="1" w:name="_Toc414536528"/>
      <w:bookmarkStart w:id="2" w:name="_Toc414605816"/>
      <w:bookmarkStart w:id="3" w:name="_Toc427575940"/>
      <w:bookmarkStart w:id="4" w:name="_Toc427576812"/>
      <w:bookmarkStart w:id="5" w:name="_Toc427576877"/>
      <w:bookmarkStart w:id="6" w:name="_Toc427744208"/>
      <w:bookmarkStart w:id="7" w:name="_Toc427744273"/>
      <w:bookmarkStart w:id="8" w:name="_Toc428453588"/>
    </w:p>
    <w:p w14:paraId="68B8370F" w14:textId="77777777" w:rsidR="00EC5AA7" w:rsidRPr="004C553C" w:rsidRDefault="00EC5AA7" w:rsidP="00513775">
      <w:pPr>
        <w:jc w:val="center"/>
        <w:rPr>
          <w:color w:val="1F3864" w:themeColor="accent5" w:themeShade="80"/>
          <w:sz w:val="44"/>
        </w:rPr>
      </w:pPr>
    </w:p>
    <w:p w14:paraId="7E251CE7" w14:textId="77777777" w:rsidR="00EC5AA7" w:rsidRPr="004C553C" w:rsidRDefault="00EC5AA7" w:rsidP="00513775">
      <w:pPr>
        <w:jc w:val="center"/>
        <w:rPr>
          <w:color w:val="1F3864" w:themeColor="accent5" w:themeShade="80"/>
          <w:sz w:val="44"/>
        </w:rPr>
      </w:pPr>
    </w:p>
    <w:p w14:paraId="70D2BDAE" w14:textId="77777777" w:rsidR="00513775" w:rsidRDefault="00513775" w:rsidP="00513775">
      <w:pPr>
        <w:jc w:val="center"/>
        <w:rPr>
          <w:color w:val="1F3864" w:themeColor="accent5" w:themeShade="80"/>
          <w:sz w:val="44"/>
        </w:rPr>
      </w:pPr>
      <w:r w:rsidRPr="004C553C">
        <w:rPr>
          <w:color w:val="1F3864" w:themeColor="accent5" w:themeShade="80"/>
          <w:sz w:val="44"/>
        </w:rPr>
        <w:t>Submitted by:</w:t>
      </w:r>
      <w:bookmarkEnd w:id="1"/>
      <w:bookmarkEnd w:id="2"/>
      <w:bookmarkEnd w:id="3"/>
      <w:bookmarkEnd w:id="4"/>
      <w:bookmarkEnd w:id="5"/>
      <w:bookmarkEnd w:id="6"/>
      <w:bookmarkEnd w:id="7"/>
      <w:bookmarkEnd w:id="8"/>
    </w:p>
    <w:p w14:paraId="5FC3AE7A" w14:textId="77777777" w:rsidR="004C553C" w:rsidRPr="004C553C" w:rsidRDefault="004C553C" w:rsidP="00513775">
      <w:pPr>
        <w:jc w:val="center"/>
        <w:rPr>
          <w:color w:val="1F3864" w:themeColor="accent5" w:themeShade="80"/>
          <w:sz w:val="44"/>
        </w:rPr>
      </w:pPr>
    </w:p>
    <w:p w14:paraId="7109584E" w14:textId="77777777" w:rsidR="00513775" w:rsidRPr="004C553C" w:rsidRDefault="00513775" w:rsidP="00513775">
      <w:pPr>
        <w:jc w:val="center"/>
        <w:rPr>
          <w:color w:val="1F3864" w:themeColor="accent5" w:themeShade="80"/>
          <w:sz w:val="44"/>
        </w:rPr>
      </w:pPr>
      <w:bookmarkStart w:id="9" w:name="_Toc414536529"/>
      <w:bookmarkStart w:id="10" w:name="_Toc414605817"/>
      <w:bookmarkStart w:id="11" w:name="_Toc427575941"/>
      <w:bookmarkStart w:id="12" w:name="_Toc427576813"/>
      <w:bookmarkStart w:id="13" w:name="_Toc427576878"/>
      <w:bookmarkStart w:id="14" w:name="_Toc427744209"/>
      <w:bookmarkStart w:id="15" w:name="_Toc427744274"/>
      <w:bookmarkStart w:id="16" w:name="_Toc428453589"/>
      <w:r w:rsidRPr="004C553C">
        <w:rPr>
          <w:color w:val="1F3864" w:themeColor="accent5" w:themeShade="80"/>
          <w:sz w:val="44"/>
        </w:rPr>
        <w:t>Sage Policy Group, Inc.</w:t>
      </w:r>
      <w:bookmarkEnd w:id="9"/>
      <w:bookmarkEnd w:id="10"/>
      <w:bookmarkEnd w:id="11"/>
      <w:bookmarkEnd w:id="12"/>
      <w:bookmarkEnd w:id="13"/>
      <w:bookmarkEnd w:id="14"/>
      <w:bookmarkEnd w:id="15"/>
      <w:bookmarkEnd w:id="16"/>
    </w:p>
    <w:p w14:paraId="0E8DAE50" w14:textId="77777777" w:rsidR="00513775" w:rsidRPr="004C553C" w:rsidRDefault="00513775" w:rsidP="00513775">
      <w:pPr>
        <w:pBdr>
          <w:bottom w:val="single" w:sz="6" w:space="0" w:color="auto"/>
        </w:pBdr>
        <w:jc w:val="center"/>
        <w:rPr>
          <w:rFonts w:eastAsia="MS Mincho"/>
          <w:color w:val="1F3864" w:themeColor="accent5" w:themeShade="80"/>
          <w:sz w:val="44"/>
        </w:rPr>
      </w:pPr>
    </w:p>
    <w:p w14:paraId="6C64DDD8" w14:textId="77777777" w:rsidR="00513775" w:rsidRDefault="00513775" w:rsidP="00513775">
      <w:pPr>
        <w:pBdr>
          <w:bottom w:val="single" w:sz="6" w:space="0" w:color="auto"/>
        </w:pBdr>
        <w:jc w:val="center"/>
        <w:rPr>
          <w:rFonts w:eastAsia="MS Mincho"/>
          <w:color w:val="1F3864" w:themeColor="accent5" w:themeShade="80"/>
          <w:sz w:val="44"/>
        </w:rPr>
      </w:pPr>
    </w:p>
    <w:p w14:paraId="749F9CCE" w14:textId="77777777" w:rsidR="004C553C" w:rsidRPr="004C553C" w:rsidRDefault="004C553C" w:rsidP="00513775">
      <w:pPr>
        <w:pBdr>
          <w:bottom w:val="single" w:sz="6" w:space="0" w:color="auto"/>
        </w:pBdr>
        <w:jc w:val="center"/>
        <w:rPr>
          <w:rFonts w:eastAsia="MS Mincho"/>
          <w:color w:val="1F3864" w:themeColor="accent5" w:themeShade="80"/>
          <w:sz w:val="44"/>
        </w:rPr>
      </w:pPr>
    </w:p>
    <w:p w14:paraId="2A4F760F" w14:textId="77777777" w:rsidR="00513775" w:rsidRDefault="00513775" w:rsidP="00513775">
      <w:pPr>
        <w:rPr>
          <w:color w:val="1F3864" w:themeColor="accent5" w:themeShade="80"/>
        </w:rPr>
      </w:pPr>
    </w:p>
    <w:p w14:paraId="4570F497" w14:textId="77777777" w:rsidR="004C553C" w:rsidRPr="004C553C" w:rsidRDefault="004C553C" w:rsidP="00513775">
      <w:pPr>
        <w:rPr>
          <w:color w:val="1F3864" w:themeColor="accent5" w:themeShade="80"/>
        </w:rPr>
      </w:pPr>
    </w:p>
    <w:p w14:paraId="19642837" w14:textId="77777777" w:rsidR="008B4A0A" w:rsidRPr="004C553C" w:rsidRDefault="008B4A0A" w:rsidP="00777924">
      <w:pPr>
        <w:rPr>
          <w:color w:val="1F3864" w:themeColor="accent5" w:themeShade="80"/>
          <w:sz w:val="52"/>
        </w:rPr>
      </w:pPr>
    </w:p>
    <w:p w14:paraId="326773EA" w14:textId="77777777" w:rsidR="008B4A0A" w:rsidRDefault="008B4A0A" w:rsidP="00513775">
      <w:pPr>
        <w:jc w:val="center"/>
        <w:rPr>
          <w:color w:val="1F3864" w:themeColor="accent5" w:themeShade="80"/>
          <w:sz w:val="44"/>
        </w:rPr>
      </w:pPr>
      <w:bookmarkStart w:id="17" w:name="_Toc435780584"/>
      <w:bookmarkStart w:id="18" w:name="_Toc435780694"/>
      <w:bookmarkStart w:id="19" w:name="_Toc435981350"/>
      <w:bookmarkStart w:id="20" w:name="_Toc435981837"/>
      <w:r w:rsidRPr="004C553C">
        <w:rPr>
          <w:color w:val="1F3864" w:themeColor="accent5" w:themeShade="80"/>
          <w:sz w:val="44"/>
        </w:rPr>
        <w:t>Submitted to:</w:t>
      </w:r>
      <w:bookmarkEnd w:id="17"/>
      <w:bookmarkEnd w:id="18"/>
      <w:bookmarkEnd w:id="19"/>
      <w:bookmarkEnd w:id="20"/>
    </w:p>
    <w:p w14:paraId="45D698BF" w14:textId="77777777" w:rsidR="004C553C" w:rsidRPr="004C553C" w:rsidRDefault="004C553C" w:rsidP="00513775">
      <w:pPr>
        <w:jc w:val="center"/>
        <w:rPr>
          <w:color w:val="1F3864" w:themeColor="accent5" w:themeShade="80"/>
          <w:sz w:val="44"/>
        </w:rPr>
      </w:pPr>
    </w:p>
    <w:p w14:paraId="54AEAED4" w14:textId="77777777" w:rsidR="00783B9D" w:rsidRPr="004C553C" w:rsidRDefault="00137D69" w:rsidP="00783B9D">
      <w:pPr>
        <w:tabs>
          <w:tab w:val="left" w:pos="1080"/>
        </w:tabs>
        <w:jc w:val="center"/>
        <w:rPr>
          <w:color w:val="1F3864" w:themeColor="accent5" w:themeShade="80"/>
          <w:sz w:val="48"/>
          <w:szCs w:val="48"/>
        </w:rPr>
      </w:pPr>
      <w:r w:rsidRPr="004C553C">
        <w:rPr>
          <w:color w:val="1F3864" w:themeColor="accent5" w:themeShade="80"/>
          <w:sz w:val="48"/>
          <w:szCs w:val="48"/>
        </w:rPr>
        <w:t>Sail Baltimore</w:t>
      </w:r>
      <w:r w:rsidR="004C553C" w:rsidRPr="004C553C">
        <w:rPr>
          <w:color w:val="1F3864" w:themeColor="accent5" w:themeShade="80"/>
          <w:sz w:val="48"/>
          <w:szCs w:val="48"/>
        </w:rPr>
        <w:t xml:space="preserve"> Stakeholders</w:t>
      </w:r>
    </w:p>
    <w:p w14:paraId="4C75D3E1" w14:textId="77777777" w:rsidR="008B4A0A" w:rsidRPr="004C553C" w:rsidRDefault="008B4A0A" w:rsidP="00513775">
      <w:pPr>
        <w:jc w:val="center"/>
        <w:rPr>
          <w:color w:val="1F3864" w:themeColor="accent5" w:themeShade="80"/>
          <w:sz w:val="32"/>
        </w:rPr>
      </w:pPr>
    </w:p>
    <w:p w14:paraId="5F4E48E9" w14:textId="77777777" w:rsidR="008B4A0A" w:rsidRPr="004C553C" w:rsidRDefault="008B4A0A" w:rsidP="004C553C">
      <w:pPr>
        <w:rPr>
          <w:color w:val="1F3864" w:themeColor="accent5" w:themeShade="80"/>
          <w:sz w:val="32"/>
        </w:rPr>
      </w:pPr>
    </w:p>
    <w:p w14:paraId="594FFB3E" w14:textId="77777777" w:rsidR="00777924" w:rsidRPr="004C553C" w:rsidRDefault="00777924" w:rsidP="00513775">
      <w:pPr>
        <w:jc w:val="center"/>
        <w:rPr>
          <w:color w:val="1F3864" w:themeColor="accent5" w:themeShade="80"/>
          <w:sz w:val="32"/>
        </w:rPr>
      </w:pPr>
    </w:p>
    <w:p w14:paraId="6C66693D" w14:textId="77777777" w:rsidR="00777924" w:rsidRPr="004C553C" w:rsidRDefault="00777924" w:rsidP="00513775">
      <w:pPr>
        <w:jc w:val="center"/>
        <w:rPr>
          <w:color w:val="1F3864" w:themeColor="accent5" w:themeShade="80"/>
          <w:sz w:val="32"/>
        </w:rPr>
      </w:pPr>
    </w:p>
    <w:p w14:paraId="2FE042B2" w14:textId="77777777" w:rsidR="008B4A0A" w:rsidRPr="004C553C" w:rsidRDefault="008B4A0A" w:rsidP="004C553C">
      <w:pPr>
        <w:rPr>
          <w:color w:val="1F3864" w:themeColor="accent5" w:themeShade="80"/>
          <w:sz w:val="32"/>
        </w:rPr>
      </w:pPr>
    </w:p>
    <w:p w14:paraId="496B721E" w14:textId="77777777" w:rsidR="00137D69" w:rsidRPr="004C553C" w:rsidRDefault="00777924" w:rsidP="004C553C">
      <w:pPr>
        <w:jc w:val="center"/>
        <w:rPr>
          <w:color w:val="1F3864" w:themeColor="accent5" w:themeShade="80"/>
          <w:sz w:val="40"/>
          <w:szCs w:val="40"/>
        </w:rPr>
      </w:pPr>
      <w:r w:rsidRPr="004C553C">
        <w:rPr>
          <w:color w:val="1F3864" w:themeColor="accent5" w:themeShade="80"/>
          <w:sz w:val="40"/>
          <w:szCs w:val="40"/>
        </w:rPr>
        <w:t>November 2017</w:t>
      </w:r>
    </w:p>
    <w:p w14:paraId="0C7E039C" w14:textId="77777777" w:rsidR="0065689B" w:rsidRPr="00C60831" w:rsidRDefault="0065689B" w:rsidP="0065689B">
      <w:pPr>
        <w:spacing w:line="252" w:lineRule="auto"/>
        <w:jc w:val="center"/>
        <w:rPr>
          <w:b/>
          <w:color w:val="1F4E79" w:themeColor="accent1" w:themeShade="80"/>
          <w:sz w:val="30"/>
          <w:szCs w:val="30"/>
        </w:rPr>
      </w:pPr>
      <w:r>
        <w:rPr>
          <w:b/>
          <w:color w:val="1F4E79" w:themeColor="accent1" w:themeShade="80"/>
          <w:sz w:val="30"/>
          <w:szCs w:val="30"/>
        </w:rPr>
        <w:br w:type="page"/>
      </w:r>
      <w:r>
        <w:rPr>
          <w:b/>
          <w:color w:val="1F4E79" w:themeColor="accent1" w:themeShade="80"/>
          <w:sz w:val="30"/>
          <w:szCs w:val="30"/>
        </w:rPr>
        <w:lastRenderedPageBreak/>
        <w:t>The Economic Impacts of Sail Baltimore</w:t>
      </w:r>
    </w:p>
    <w:p w14:paraId="595D1C76" w14:textId="77777777" w:rsidR="0065689B" w:rsidRPr="004C553C" w:rsidRDefault="0065689B" w:rsidP="0065689B">
      <w:pPr>
        <w:spacing w:line="276" w:lineRule="auto"/>
        <w:rPr>
          <w:u w:val="single"/>
        </w:rPr>
      </w:pPr>
    </w:p>
    <w:p w14:paraId="36A9BF8B" w14:textId="77777777" w:rsidR="00463098" w:rsidRDefault="00463098" w:rsidP="00463098">
      <w:pPr>
        <w:pStyle w:val="Heading1"/>
        <w:rPr>
          <w:b w:val="0"/>
          <w:sz w:val="30"/>
          <w:szCs w:val="30"/>
        </w:rPr>
      </w:pPr>
      <w:r>
        <w:rPr>
          <w:sz w:val="28"/>
        </w:rPr>
        <w:t>Executive Summary</w:t>
      </w:r>
    </w:p>
    <w:p w14:paraId="32577A3A" w14:textId="77777777" w:rsidR="00463098" w:rsidRDefault="00463098" w:rsidP="00255E0D"/>
    <w:p w14:paraId="5DB00736" w14:textId="75352347" w:rsidR="00463098" w:rsidRPr="00463098" w:rsidRDefault="00463098" w:rsidP="00255E0D">
      <w:pPr>
        <w:spacing w:after="160" w:line="288" w:lineRule="auto"/>
      </w:pPr>
      <w:r w:rsidRPr="00463098">
        <w:t>Sail Baltimore is a 501(c)(3) nonprofit located in Baltimore that operates under the auspices of a volunteer board of directors that deploys an efficient staff augmented by community volunteers.  The organization is primarily supported by corporate and individual donations and receives a modicum of public funding.</w:t>
      </w:r>
    </w:p>
    <w:p w14:paraId="6C45E225" w14:textId="0131393A" w:rsidR="00463098" w:rsidRPr="00293F28" w:rsidRDefault="00463098" w:rsidP="00255E0D">
      <w:pPr>
        <w:spacing w:after="160" w:line="288" w:lineRule="auto"/>
      </w:pPr>
      <w:r w:rsidRPr="00293F28">
        <w:t xml:space="preserve">Visiting Ships, the organization’s signature endeavor, welcomes a variety of ships to Baltimore’s waterfront.  Especially interesting and historic ships are much sought after in many harbors, and Sail Baltimore supplies Baltimore with a capacity to compete for these ship visits. </w:t>
      </w:r>
      <w:r w:rsidR="00293F28">
        <w:t xml:space="preserve"> </w:t>
      </w:r>
      <w:r w:rsidR="00293F28" w:rsidRPr="0039463E">
        <w:t xml:space="preserve">Sail Baltimore’s Visiting Ships program </w:t>
      </w:r>
      <w:r w:rsidR="00255E0D">
        <w:t xml:space="preserve">attracts </w:t>
      </w:r>
      <w:r w:rsidR="00293F28">
        <w:t>approximately</w:t>
      </w:r>
      <w:r w:rsidR="00293F28" w:rsidRPr="0039463E">
        <w:t xml:space="preserve"> </w:t>
      </w:r>
      <w:r w:rsidR="00293F28">
        <w:t xml:space="preserve">100,000 </w:t>
      </w:r>
      <w:r w:rsidR="00293F28" w:rsidRPr="0039463E">
        <w:t xml:space="preserve">visitors to </w:t>
      </w:r>
      <w:r w:rsidR="00293F28">
        <w:t xml:space="preserve">the Inner Harbor each year.  This is remarkable for an organization that has only one full-time employee and three-part timers.  </w:t>
      </w:r>
    </w:p>
    <w:p w14:paraId="2F6C83F1" w14:textId="708CB815" w:rsidR="00463098" w:rsidRDefault="00463098" w:rsidP="00255E0D">
      <w:pPr>
        <w:spacing w:after="160" w:line="288" w:lineRule="auto"/>
      </w:pPr>
      <w:r w:rsidRPr="00463098">
        <w:t xml:space="preserve">The </w:t>
      </w:r>
      <w:r w:rsidR="00293F28">
        <w:t>enterprise</w:t>
      </w:r>
      <w:r w:rsidRPr="00463098">
        <w:t xml:space="preserve"> also </w:t>
      </w:r>
      <w:r>
        <w:t>organizes events, including the monumental Star-Spangled Sailabration of 2012, the Star-Spangled Spectacular of 2014, and the Maryland Fleet Week &amp; Air Show of 2016</w:t>
      </w:r>
      <w:r w:rsidR="009E6C37">
        <w:t>, for which the organization was an important partner</w:t>
      </w:r>
      <w:r>
        <w:t xml:space="preserve">.  These events attract hundreds of thousands of additional visitors to Baltimore, generating additional large-scale economic and fiscal impacts in the process.  Those impacts have been characterized in other reports and are not encompassed by this Sage study.  </w:t>
      </w:r>
    </w:p>
    <w:p w14:paraId="1FE50C99" w14:textId="7F3BDA7E" w:rsidR="00463098" w:rsidRPr="00255E0D" w:rsidRDefault="00463098" w:rsidP="00255E0D">
      <w:pPr>
        <w:spacing w:after="160" w:line="288" w:lineRule="auto"/>
      </w:pPr>
      <w:r>
        <w:t xml:space="preserve">Based on Sage’s modeling, we </w:t>
      </w:r>
      <w:r w:rsidR="00255E0D">
        <w:t>estimate that in a typical year</w:t>
      </w:r>
      <w:r>
        <w:t xml:space="preserve"> Sail Baltimore supports $11.2 million in augmented visitor spending.</w:t>
      </w:r>
      <w:r w:rsidRPr="00463098">
        <w:t xml:space="preserve"> Excluding events-related impacts, Sail Baltimore supports more than 170 annual FTEs in Baltimore City.  This is equivalent to a sizeable company.  Those employees are associated wi</w:t>
      </w:r>
      <w:r w:rsidR="00293F28">
        <w:t>th employee compensation approaching</w:t>
      </w:r>
      <w:r w:rsidRPr="00463098">
        <w:t xml:space="preserve"> $6.6 million. </w:t>
      </w:r>
      <w:r w:rsidR="00293F28">
        <w:t xml:space="preserve"> </w:t>
      </w:r>
      <w:r w:rsidRPr="00463098">
        <w:t>Local business sales are augmented by nearly $15 million.</w:t>
      </w:r>
      <w:r>
        <w:t xml:space="preserve">     </w:t>
      </w:r>
      <w:r w:rsidRPr="00463098">
        <w:t xml:space="preserve">   </w:t>
      </w:r>
    </w:p>
    <w:p w14:paraId="455E6909" w14:textId="22A6AB24" w:rsidR="00293F28" w:rsidRDefault="00293F28" w:rsidP="00255E0D">
      <w:pPr>
        <w:spacing w:after="160" w:line="288" w:lineRule="auto"/>
      </w:pPr>
      <w:r w:rsidRPr="00293F28">
        <w:t>Economic impacts trigger fiscal ones.  In tota</w:t>
      </w:r>
      <w:r w:rsidR="00990849">
        <w:t>l, Sail Baltimore supports approximately</w:t>
      </w:r>
      <w:r w:rsidRPr="00293F28">
        <w:t xml:space="preserve"> $440,000 in annual tax collections in Baltimore City and an additional $46</w:t>
      </w:r>
      <w:r>
        <w:t>0,000 for th</w:t>
      </w:r>
      <w:r w:rsidR="00990849">
        <w:t>e State of Maryland based on Sage’s</w:t>
      </w:r>
      <w:r>
        <w:t xml:space="preserve"> modeling.</w:t>
      </w:r>
    </w:p>
    <w:p w14:paraId="53C5C59A" w14:textId="77777777" w:rsidR="00255E0D" w:rsidRPr="009E6C37" w:rsidRDefault="00255E0D" w:rsidP="00293F28">
      <w:pPr>
        <w:spacing w:line="276" w:lineRule="auto"/>
        <w:rPr>
          <w:sz w:val="16"/>
        </w:rPr>
      </w:pPr>
    </w:p>
    <w:p w14:paraId="505E901F" w14:textId="6A6A1245" w:rsidR="00255E0D" w:rsidRDefault="00255E0D" w:rsidP="00255E0D">
      <w:pPr>
        <w:pStyle w:val="Exhibit"/>
      </w:pPr>
      <w:r>
        <w:t>Exhibit E1: Ongoing Annual Economic &amp; Fiscal Impacts</w:t>
      </w:r>
    </w:p>
    <w:tbl>
      <w:tblPr>
        <w:tblW w:w="8866" w:type="dxa"/>
        <w:tblInd w:w="-10" w:type="dxa"/>
        <w:tblLook w:val="04A0" w:firstRow="1" w:lastRow="0" w:firstColumn="1" w:lastColumn="0" w:noHBand="0" w:noVBand="1"/>
      </w:tblPr>
      <w:tblGrid>
        <w:gridCol w:w="2202"/>
        <w:gridCol w:w="998"/>
        <w:gridCol w:w="1709"/>
        <w:gridCol w:w="1347"/>
        <w:gridCol w:w="1305"/>
        <w:gridCol w:w="1305"/>
      </w:tblGrid>
      <w:tr w:rsidR="00255E0D" w14:paraId="7CAFCB63" w14:textId="17AE5222" w:rsidTr="00255E0D">
        <w:trPr>
          <w:trHeight w:val="711"/>
        </w:trPr>
        <w:tc>
          <w:tcPr>
            <w:tcW w:w="2202" w:type="dxa"/>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56CBC3A3" w14:textId="77777777" w:rsidR="00255E0D" w:rsidRPr="00BB3BF6" w:rsidRDefault="00255E0D" w:rsidP="00975433">
            <w:pPr>
              <w:contextualSpacing/>
              <w:jc w:val="center"/>
              <w:rPr>
                <w:b/>
                <w:bCs/>
                <w:color w:val="FFFFFF"/>
              </w:rPr>
            </w:pPr>
          </w:p>
        </w:tc>
        <w:tc>
          <w:tcPr>
            <w:tcW w:w="998" w:type="dxa"/>
            <w:tcBorders>
              <w:top w:val="single" w:sz="8" w:space="0" w:color="auto"/>
              <w:left w:val="nil"/>
              <w:right w:val="single" w:sz="8" w:space="0" w:color="auto"/>
            </w:tcBorders>
            <w:shd w:val="clear" w:color="auto" w:fill="1F4E79" w:themeFill="accent1" w:themeFillShade="80"/>
            <w:vAlign w:val="center"/>
            <w:hideMark/>
          </w:tcPr>
          <w:p w14:paraId="621D1DE7" w14:textId="77777777" w:rsidR="00255E0D" w:rsidRPr="00BB3BF6" w:rsidRDefault="00255E0D" w:rsidP="00975433">
            <w:pPr>
              <w:contextualSpacing/>
              <w:jc w:val="center"/>
              <w:rPr>
                <w:b/>
                <w:bCs/>
                <w:color w:val="FFFFFF"/>
              </w:rPr>
            </w:pPr>
            <w:r w:rsidRPr="00BB3BF6">
              <w:rPr>
                <w:b/>
                <w:bCs/>
                <w:color w:val="FFFFFF"/>
              </w:rPr>
              <w:t>Jobs</w:t>
            </w:r>
          </w:p>
          <w:p w14:paraId="12111105" w14:textId="77777777" w:rsidR="00255E0D" w:rsidRPr="00BB3BF6" w:rsidRDefault="00255E0D" w:rsidP="00975433">
            <w:pPr>
              <w:contextualSpacing/>
              <w:jc w:val="center"/>
              <w:rPr>
                <w:b/>
                <w:bCs/>
                <w:color w:val="FFFFFF"/>
              </w:rPr>
            </w:pPr>
            <w:r w:rsidRPr="00BB3BF6">
              <w:rPr>
                <w:b/>
                <w:bCs/>
                <w:color w:val="FFFFFF"/>
              </w:rPr>
              <w:t>(FTEs)</w:t>
            </w:r>
          </w:p>
        </w:tc>
        <w:tc>
          <w:tcPr>
            <w:tcW w:w="1709" w:type="dxa"/>
            <w:tcBorders>
              <w:top w:val="single" w:sz="8" w:space="0" w:color="auto"/>
              <w:left w:val="nil"/>
              <w:right w:val="single" w:sz="8" w:space="0" w:color="auto"/>
            </w:tcBorders>
            <w:shd w:val="clear" w:color="auto" w:fill="1F4E79" w:themeFill="accent1" w:themeFillShade="80"/>
            <w:vAlign w:val="center"/>
            <w:hideMark/>
          </w:tcPr>
          <w:p w14:paraId="33C6A816" w14:textId="77777777" w:rsidR="00255E0D" w:rsidRPr="00BB3BF6" w:rsidRDefault="00255E0D" w:rsidP="00975433">
            <w:pPr>
              <w:contextualSpacing/>
              <w:jc w:val="center"/>
              <w:rPr>
                <w:b/>
                <w:bCs/>
                <w:color w:val="FFFFFF"/>
              </w:rPr>
            </w:pPr>
            <w:r>
              <w:rPr>
                <w:b/>
                <w:bCs/>
                <w:color w:val="FFFFFF"/>
              </w:rPr>
              <w:t>Employee Compensation</w:t>
            </w:r>
          </w:p>
        </w:tc>
        <w:tc>
          <w:tcPr>
            <w:tcW w:w="1347" w:type="dxa"/>
            <w:tcBorders>
              <w:top w:val="single" w:sz="8" w:space="0" w:color="auto"/>
              <w:left w:val="nil"/>
              <w:right w:val="single" w:sz="8" w:space="0" w:color="auto"/>
            </w:tcBorders>
            <w:shd w:val="clear" w:color="auto" w:fill="1F4E79" w:themeFill="accent1" w:themeFillShade="80"/>
            <w:vAlign w:val="center"/>
            <w:hideMark/>
          </w:tcPr>
          <w:p w14:paraId="672B2177" w14:textId="77777777" w:rsidR="00255E0D" w:rsidRPr="00BB3BF6" w:rsidRDefault="00255E0D" w:rsidP="00975433">
            <w:pPr>
              <w:contextualSpacing/>
              <w:jc w:val="center"/>
              <w:rPr>
                <w:b/>
                <w:bCs/>
                <w:color w:val="FFFFFF"/>
              </w:rPr>
            </w:pPr>
            <w:r w:rsidRPr="00BB3BF6">
              <w:rPr>
                <w:b/>
                <w:bCs/>
                <w:color w:val="FFFFFF"/>
              </w:rPr>
              <w:t>Business sales</w:t>
            </w:r>
          </w:p>
        </w:tc>
        <w:tc>
          <w:tcPr>
            <w:tcW w:w="1305" w:type="dxa"/>
            <w:tcBorders>
              <w:top w:val="single" w:sz="8" w:space="0" w:color="auto"/>
              <w:left w:val="nil"/>
              <w:right w:val="single" w:sz="8" w:space="0" w:color="auto"/>
            </w:tcBorders>
            <w:shd w:val="clear" w:color="auto" w:fill="1F4E79" w:themeFill="accent1" w:themeFillShade="80"/>
          </w:tcPr>
          <w:p w14:paraId="1E526384" w14:textId="3A7E7F6D" w:rsidR="00255E0D" w:rsidRPr="00BB3BF6" w:rsidRDefault="00255E0D" w:rsidP="00975433">
            <w:pPr>
              <w:contextualSpacing/>
              <w:jc w:val="center"/>
              <w:rPr>
                <w:b/>
                <w:bCs/>
                <w:color w:val="FFFFFF"/>
              </w:rPr>
            </w:pPr>
            <w:r>
              <w:rPr>
                <w:b/>
                <w:bCs/>
                <w:color w:val="FFFFFF"/>
              </w:rPr>
              <w:t>Baltimore City Tax Revenues</w:t>
            </w:r>
          </w:p>
        </w:tc>
        <w:tc>
          <w:tcPr>
            <w:tcW w:w="1305" w:type="dxa"/>
            <w:tcBorders>
              <w:top w:val="single" w:sz="8" w:space="0" w:color="auto"/>
              <w:left w:val="nil"/>
              <w:right w:val="single" w:sz="8" w:space="0" w:color="auto"/>
            </w:tcBorders>
            <w:shd w:val="clear" w:color="auto" w:fill="1F4E79" w:themeFill="accent1" w:themeFillShade="80"/>
          </w:tcPr>
          <w:p w14:paraId="1591AF61" w14:textId="21EB5643" w:rsidR="00255E0D" w:rsidRPr="00BB3BF6" w:rsidRDefault="00255E0D" w:rsidP="00975433">
            <w:pPr>
              <w:contextualSpacing/>
              <w:jc w:val="center"/>
              <w:rPr>
                <w:b/>
                <w:bCs/>
                <w:color w:val="FFFFFF"/>
              </w:rPr>
            </w:pPr>
            <w:r>
              <w:rPr>
                <w:b/>
                <w:bCs/>
                <w:color w:val="FFFFFF"/>
              </w:rPr>
              <w:t>Maryland Tax Revenues</w:t>
            </w:r>
          </w:p>
        </w:tc>
      </w:tr>
      <w:tr w:rsidR="00255E0D" w14:paraId="3832D74E" w14:textId="1101EB97" w:rsidTr="002B11D3">
        <w:trPr>
          <w:trHeight w:val="330"/>
        </w:trPr>
        <w:tc>
          <w:tcPr>
            <w:tcW w:w="886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1B7C10C" w14:textId="7CC02689" w:rsidR="00255E0D" w:rsidRDefault="00255E0D" w:rsidP="00975433">
            <w:pPr>
              <w:rPr>
                <w:b/>
                <w:i/>
                <w:iCs/>
                <w:color w:val="000000"/>
              </w:rPr>
            </w:pPr>
            <w:r>
              <w:rPr>
                <w:b/>
                <w:i/>
                <w:iCs/>
                <w:color w:val="000000"/>
              </w:rPr>
              <w:t>Baltimore City</w:t>
            </w:r>
          </w:p>
        </w:tc>
      </w:tr>
      <w:tr w:rsidR="00255E0D" w14:paraId="4BAC0A1C" w14:textId="51759DE2" w:rsidTr="00255E0D">
        <w:trPr>
          <w:trHeight w:val="288"/>
        </w:trPr>
        <w:tc>
          <w:tcPr>
            <w:tcW w:w="2202" w:type="dxa"/>
            <w:tcBorders>
              <w:top w:val="nil"/>
              <w:left w:val="single" w:sz="8" w:space="0" w:color="auto"/>
              <w:bottom w:val="single" w:sz="8" w:space="0" w:color="auto"/>
              <w:right w:val="single" w:sz="8" w:space="0" w:color="auto"/>
            </w:tcBorders>
            <w:shd w:val="clear" w:color="auto" w:fill="auto"/>
            <w:vAlign w:val="center"/>
            <w:hideMark/>
          </w:tcPr>
          <w:p w14:paraId="117A9CC9" w14:textId="77777777" w:rsidR="00255E0D" w:rsidRPr="00D03CB5" w:rsidRDefault="00255E0D" w:rsidP="00975433">
            <w:pPr>
              <w:pStyle w:val="NoSpacing"/>
            </w:pPr>
            <w:r w:rsidRPr="00D03CB5">
              <w:t xml:space="preserve"> Direct effects</w:t>
            </w:r>
          </w:p>
        </w:tc>
        <w:tc>
          <w:tcPr>
            <w:tcW w:w="998" w:type="dxa"/>
            <w:tcBorders>
              <w:top w:val="nil"/>
              <w:left w:val="nil"/>
              <w:bottom w:val="single" w:sz="8" w:space="0" w:color="auto"/>
              <w:right w:val="single" w:sz="8" w:space="0" w:color="auto"/>
            </w:tcBorders>
            <w:shd w:val="clear" w:color="auto" w:fill="auto"/>
            <w:vAlign w:val="bottom"/>
            <w:hideMark/>
          </w:tcPr>
          <w:p w14:paraId="27DD8F81" w14:textId="77777777" w:rsidR="00255E0D" w:rsidRDefault="00255E0D" w:rsidP="00975433">
            <w:pPr>
              <w:jc w:val="right"/>
              <w:rPr>
                <w:rFonts w:cs="Tahoma"/>
                <w:color w:val="000000"/>
              </w:rPr>
            </w:pPr>
            <w:r>
              <w:rPr>
                <w:rFonts w:cs="Tahoma"/>
                <w:color w:val="000000"/>
              </w:rPr>
              <w:t>143</w:t>
            </w:r>
          </w:p>
        </w:tc>
        <w:tc>
          <w:tcPr>
            <w:tcW w:w="1709" w:type="dxa"/>
            <w:tcBorders>
              <w:top w:val="nil"/>
              <w:left w:val="nil"/>
              <w:bottom w:val="single" w:sz="8" w:space="0" w:color="auto"/>
              <w:right w:val="single" w:sz="8" w:space="0" w:color="auto"/>
            </w:tcBorders>
            <w:shd w:val="clear" w:color="auto" w:fill="auto"/>
            <w:vAlign w:val="bottom"/>
            <w:hideMark/>
          </w:tcPr>
          <w:p w14:paraId="79D72273" w14:textId="77777777" w:rsidR="00255E0D" w:rsidRDefault="00255E0D" w:rsidP="00975433">
            <w:pPr>
              <w:jc w:val="right"/>
              <w:rPr>
                <w:rFonts w:cs="Tahoma"/>
                <w:color w:val="000000"/>
              </w:rPr>
            </w:pPr>
            <w:r>
              <w:rPr>
                <w:rFonts w:cs="Tahoma"/>
                <w:color w:val="000000"/>
              </w:rPr>
              <w:t>$4,741,291</w:t>
            </w:r>
          </w:p>
        </w:tc>
        <w:tc>
          <w:tcPr>
            <w:tcW w:w="1347" w:type="dxa"/>
            <w:tcBorders>
              <w:top w:val="nil"/>
              <w:left w:val="nil"/>
              <w:bottom w:val="single" w:sz="8" w:space="0" w:color="auto"/>
              <w:right w:val="single" w:sz="8" w:space="0" w:color="auto"/>
            </w:tcBorders>
            <w:shd w:val="clear" w:color="auto" w:fill="auto"/>
            <w:vAlign w:val="bottom"/>
            <w:hideMark/>
          </w:tcPr>
          <w:p w14:paraId="4D5186C5" w14:textId="77777777" w:rsidR="00255E0D" w:rsidRDefault="00255E0D" w:rsidP="00975433">
            <w:pPr>
              <w:jc w:val="right"/>
              <w:rPr>
                <w:rFonts w:cs="Tahoma"/>
                <w:color w:val="000000"/>
              </w:rPr>
            </w:pPr>
            <w:r>
              <w:rPr>
                <w:rFonts w:cs="Tahoma"/>
                <w:color w:val="000000"/>
              </w:rPr>
              <w:t>$9,629,024</w:t>
            </w:r>
          </w:p>
        </w:tc>
        <w:tc>
          <w:tcPr>
            <w:tcW w:w="1305" w:type="dxa"/>
            <w:tcBorders>
              <w:top w:val="nil"/>
              <w:left w:val="nil"/>
              <w:bottom w:val="single" w:sz="8" w:space="0" w:color="auto"/>
              <w:right w:val="single" w:sz="8" w:space="0" w:color="auto"/>
            </w:tcBorders>
          </w:tcPr>
          <w:p w14:paraId="11F321E7" w14:textId="5C58FDC3" w:rsidR="00255E0D" w:rsidRDefault="00255E0D" w:rsidP="00255E0D">
            <w:pPr>
              <w:jc w:val="center"/>
              <w:rPr>
                <w:rFonts w:cs="Tahoma"/>
                <w:color w:val="000000"/>
              </w:rPr>
            </w:pPr>
            <w:r>
              <w:rPr>
                <w:rFonts w:cs="Tahoma"/>
                <w:color w:val="000000"/>
              </w:rPr>
              <w:t>-</w:t>
            </w:r>
          </w:p>
        </w:tc>
        <w:tc>
          <w:tcPr>
            <w:tcW w:w="1305" w:type="dxa"/>
            <w:tcBorders>
              <w:top w:val="nil"/>
              <w:left w:val="nil"/>
              <w:bottom w:val="single" w:sz="8" w:space="0" w:color="auto"/>
              <w:right w:val="single" w:sz="8" w:space="0" w:color="auto"/>
            </w:tcBorders>
          </w:tcPr>
          <w:p w14:paraId="2836CD9B" w14:textId="32B15221" w:rsidR="00255E0D" w:rsidRDefault="00255E0D" w:rsidP="00255E0D">
            <w:pPr>
              <w:jc w:val="center"/>
              <w:rPr>
                <w:rFonts w:cs="Tahoma"/>
                <w:color w:val="000000"/>
              </w:rPr>
            </w:pPr>
            <w:r>
              <w:rPr>
                <w:rFonts w:cs="Tahoma"/>
                <w:color w:val="000000"/>
              </w:rPr>
              <w:t>-</w:t>
            </w:r>
          </w:p>
        </w:tc>
      </w:tr>
      <w:tr w:rsidR="00255E0D" w14:paraId="58993E67" w14:textId="597A795E" w:rsidTr="00255E0D">
        <w:trPr>
          <w:trHeight w:val="288"/>
        </w:trPr>
        <w:tc>
          <w:tcPr>
            <w:tcW w:w="2202" w:type="dxa"/>
            <w:tcBorders>
              <w:top w:val="nil"/>
              <w:left w:val="single" w:sz="8" w:space="0" w:color="auto"/>
              <w:bottom w:val="single" w:sz="8" w:space="0" w:color="auto"/>
              <w:right w:val="single" w:sz="8" w:space="0" w:color="auto"/>
            </w:tcBorders>
            <w:shd w:val="clear" w:color="auto" w:fill="auto"/>
            <w:vAlign w:val="center"/>
            <w:hideMark/>
          </w:tcPr>
          <w:p w14:paraId="220CA625" w14:textId="77777777" w:rsidR="00255E0D" w:rsidRPr="00D03CB5" w:rsidRDefault="00255E0D" w:rsidP="00975433">
            <w:pPr>
              <w:pStyle w:val="NoSpacing"/>
            </w:pPr>
            <w:r w:rsidRPr="00D03CB5">
              <w:t xml:space="preserve"> Indirect effects</w:t>
            </w:r>
          </w:p>
        </w:tc>
        <w:tc>
          <w:tcPr>
            <w:tcW w:w="998" w:type="dxa"/>
            <w:tcBorders>
              <w:top w:val="nil"/>
              <w:left w:val="nil"/>
              <w:bottom w:val="single" w:sz="8" w:space="0" w:color="auto"/>
              <w:right w:val="single" w:sz="8" w:space="0" w:color="auto"/>
            </w:tcBorders>
            <w:shd w:val="clear" w:color="auto" w:fill="auto"/>
            <w:vAlign w:val="bottom"/>
            <w:hideMark/>
          </w:tcPr>
          <w:p w14:paraId="5A4EA857" w14:textId="77777777" w:rsidR="00255E0D" w:rsidRDefault="00255E0D" w:rsidP="00975433">
            <w:pPr>
              <w:jc w:val="right"/>
              <w:rPr>
                <w:rFonts w:cs="Tahoma"/>
                <w:color w:val="000000"/>
              </w:rPr>
            </w:pPr>
            <w:r>
              <w:rPr>
                <w:rFonts w:cs="Tahoma"/>
                <w:color w:val="000000"/>
              </w:rPr>
              <w:t>15</w:t>
            </w:r>
          </w:p>
        </w:tc>
        <w:tc>
          <w:tcPr>
            <w:tcW w:w="1709" w:type="dxa"/>
            <w:tcBorders>
              <w:top w:val="nil"/>
              <w:left w:val="nil"/>
              <w:bottom w:val="single" w:sz="8" w:space="0" w:color="auto"/>
              <w:right w:val="single" w:sz="8" w:space="0" w:color="auto"/>
            </w:tcBorders>
            <w:shd w:val="clear" w:color="auto" w:fill="auto"/>
            <w:vAlign w:val="bottom"/>
            <w:hideMark/>
          </w:tcPr>
          <w:p w14:paraId="169CF5B6" w14:textId="77777777" w:rsidR="00255E0D" w:rsidRDefault="00255E0D" w:rsidP="00975433">
            <w:pPr>
              <w:jc w:val="right"/>
              <w:rPr>
                <w:rFonts w:cs="Tahoma"/>
                <w:color w:val="000000"/>
              </w:rPr>
            </w:pPr>
            <w:r>
              <w:rPr>
                <w:rFonts w:cs="Tahoma"/>
                <w:color w:val="000000"/>
              </w:rPr>
              <w:t>$1,039,924</w:t>
            </w:r>
          </w:p>
        </w:tc>
        <w:tc>
          <w:tcPr>
            <w:tcW w:w="1347" w:type="dxa"/>
            <w:tcBorders>
              <w:top w:val="nil"/>
              <w:left w:val="nil"/>
              <w:bottom w:val="single" w:sz="8" w:space="0" w:color="auto"/>
              <w:right w:val="single" w:sz="8" w:space="0" w:color="auto"/>
            </w:tcBorders>
            <w:shd w:val="clear" w:color="auto" w:fill="auto"/>
            <w:vAlign w:val="bottom"/>
            <w:hideMark/>
          </w:tcPr>
          <w:p w14:paraId="1E8B145F" w14:textId="77777777" w:rsidR="00255E0D" w:rsidRDefault="00255E0D" w:rsidP="00975433">
            <w:pPr>
              <w:jc w:val="right"/>
              <w:rPr>
                <w:rFonts w:cs="Tahoma"/>
                <w:color w:val="000000"/>
              </w:rPr>
            </w:pPr>
            <w:r>
              <w:rPr>
                <w:rFonts w:cs="Tahoma"/>
                <w:color w:val="000000"/>
              </w:rPr>
              <w:t>$3,178,240</w:t>
            </w:r>
          </w:p>
        </w:tc>
        <w:tc>
          <w:tcPr>
            <w:tcW w:w="1305" w:type="dxa"/>
            <w:tcBorders>
              <w:top w:val="nil"/>
              <w:left w:val="nil"/>
              <w:bottom w:val="single" w:sz="8" w:space="0" w:color="auto"/>
              <w:right w:val="single" w:sz="8" w:space="0" w:color="auto"/>
            </w:tcBorders>
          </w:tcPr>
          <w:p w14:paraId="397CF461" w14:textId="57A893F4" w:rsidR="00255E0D" w:rsidRDefault="00255E0D" w:rsidP="00255E0D">
            <w:pPr>
              <w:jc w:val="center"/>
              <w:rPr>
                <w:rFonts w:cs="Tahoma"/>
                <w:color w:val="000000"/>
              </w:rPr>
            </w:pPr>
            <w:r>
              <w:rPr>
                <w:rFonts w:cs="Tahoma"/>
                <w:color w:val="000000"/>
              </w:rPr>
              <w:t>-</w:t>
            </w:r>
          </w:p>
        </w:tc>
        <w:tc>
          <w:tcPr>
            <w:tcW w:w="1305" w:type="dxa"/>
            <w:tcBorders>
              <w:top w:val="nil"/>
              <w:left w:val="nil"/>
              <w:bottom w:val="single" w:sz="8" w:space="0" w:color="auto"/>
              <w:right w:val="single" w:sz="8" w:space="0" w:color="auto"/>
            </w:tcBorders>
          </w:tcPr>
          <w:p w14:paraId="4A8EDE9E" w14:textId="7940DAEB" w:rsidR="00255E0D" w:rsidRDefault="00255E0D" w:rsidP="00255E0D">
            <w:pPr>
              <w:jc w:val="center"/>
              <w:rPr>
                <w:rFonts w:cs="Tahoma"/>
                <w:color w:val="000000"/>
              </w:rPr>
            </w:pPr>
            <w:r>
              <w:rPr>
                <w:rFonts w:cs="Tahoma"/>
                <w:color w:val="000000"/>
              </w:rPr>
              <w:t>-</w:t>
            </w:r>
          </w:p>
        </w:tc>
      </w:tr>
      <w:tr w:rsidR="00255E0D" w14:paraId="47DB3639" w14:textId="65FF3A93" w:rsidTr="00255E0D">
        <w:trPr>
          <w:trHeight w:val="288"/>
        </w:trPr>
        <w:tc>
          <w:tcPr>
            <w:tcW w:w="2202" w:type="dxa"/>
            <w:tcBorders>
              <w:top w:val="nil"/>
              <w:left w:val="single" w:sz="8" w:space="0" w:color="auto"/>
              <w:bottom w:val="single" w:sz="8" w:space="0" w:color="auto"/>
              <w:right w:val="single" w:sz="8" w:space="0" w:color="auto"/>
            </w:tcBorders>
            <w:shd w:val="clear" w:color="auto" w:fill="auto"/>
            <w:vAlign w:val="center"/>
            <w:hideMark/>
          </w:tcPr>
          <w:p w14:paraId="09FBD09C" w14:textId="77777777" w:rsidR="00255E0D" w:rsidRPr="00D03CB5" w:rsidRDefault="00255E0D" w:rsidP="00975433">
            <w:pPr>
              <w:pStyle w:val="NoSpacing"/>
            </w:pPr>
            <w:r w:rsidRPr="00D03CB5">
              <w:t xml:space="preserve"> Induced effects</w:t>
            </w:r>
          </w:p>
        </w:tc>
        <w:tc>
          <w:tcPr>
            <w:tcW w:w="998" w:type="dxa"/>
            <w:tcBorders>
              <w:top w:val="nil"/>
              <w:left w:val="nil"/>
              <w:bottom w:val="single" w:sz="8" w:space="0" w:color="auto"/>
              <w:right w:val="single" w:sz="8" w:space="0" w:color="auto"/>
            </w:tcBorders>
            <w:shd w:val="clear" w:color="auto" w:fill="auto"/>
            <w:vAlign w:val="bottom"/>
            <w:hideMark/>
          </w:tcPr>
          <w:p w14:paraId="1C7EA653" w14:textId="77777777" w:rsidR="00255E0D" w:rsidRDefault="00255E0D" w:rsidP="00975433">
            <w:pPr>
              <w:jc w:val="right"/>
              <w:rPr>
                <w:rFonts w:cs="Tahoma"/>
                <w:color w:val="000000"/>
              </w:rPr>
            </w:pPr>
            <w:r>
              <w:rPr>
                <w:rFonts w:cs="Tahoma"/>
                <w:color w:val="000000"/>
              </w:rPr>
              <w:t>14</w:t>
            </w:r>
          </w:p>
        </w:tc>
        <w:tc>
          <w:tcPr>
            <w:tcW w:w="1709" w:type="dxa"/>
            <w:tcBorders>
              <w:top w:val="nil"/>
              <w:left w:val="nil"/>
              <w:bottom w:val="single" w:sz="8" w:space="0" w:color="auto"/>
              <w:right w:val="single" w:sz="8" w:space="0" w:color="auto"/>
            </w:tcBorders>
            <w:shd w:val="clear" w:color="auto" w:fill="auto"/>
            <w:vAlign w:val="bottom"/>
            <w:hideMark/>
          </w:tcPr>
          <w:p w14:paraId="41BF73BA" w14:textId="77777777" w:rsidR="00255E0D" w:rsidRDefault="00255E0D" w:rsidP="00975433">
            <w:pPr>
              <w:jc w:val="right"/>
              <w:rPr>
                <w:rFonts w:cs="Tahoma"/>
                <w:color w:val="000000"/>
              </w:rPr>
            </w:pPr>
            <w:r>
              <w:rPr>
                <w:rFonts w:cs="Tahoma"/>
                <w:color w:val="000000"/>
              </w:rPr>
              <w:t>$794,799</w:t>
            </w:r>
          </w:p>
        </w:tc>
        <w:tc>
          <w:tcPr>
            <w:tcW w:w="1347" w:type="dxa"/>
            <w:tcBorders>
              <w:top w:val="nil"/>
              <w:left w:val="nil"/>
              <w:bottom w:val="single" w:sz="8" w:space="0" w:color="auto"/>
              <w:right w:val="single" w:sz="8" w:space="0" w:color="auto"/>
            </w:tcBorders>
            <w:shd w:val="clear" w:color="auto" w:fill="auto"/>
            <w:vAlign w:val="bottom"/>
            <w:hideMark/>
          </w:tcPr>
          <w:p w14:paraId="68C77B89" w14:textId="77777777" w:rsidR="00255E0D" w:rsidRDefault="00255E0D" w:rsidP="00975433">
            <w:pPr>
              <w:jc w:val="right"/>
              <w:rPr>
                <w:rFonts w:cs="Tahoma"/>
                <w:color w:val="000000"/>
              </w:rPr>
            </w:pPr>
            <w:r>
              <w:rPr>
                <w:rFonts w:cs="Tahoma"/>
                <w:color w:val="000000"/>
              </w:rPr>
              <w:t>$2,168,377</w:t>
            </w:r>
          </w:p>
        </w:tc>
        <w:tc>
          <w:tcPr>
            <w:tcW w:w="1305" w:type="dxa"/>
            <w:tcBorders>
              <w:top w:val="nil"/>
              <w:left w:val="nil"/>
              <w:bottom w:val="single" w:sz="8" w:space="0" w:color="auto"/>
              <w:right w:val="single" w:sz="8" w:space="0" w:color="auto"/>
            </w:tcBorders>
          </w:tcPr>
          <w:p w14:paraId="7261EE0A" w14:textId="481B5D0F" w:rsidR="00255E0D" w:rsidRDefault="00255E0D" w:rsidP="00255E0D">
            <w:pPr>
              <w:jc w:val="center"/>
              <w:rPr>
                <w:rFonts w:cs="Tahoma"/>
                <w:color w:val="000000"/>
              </w:rPr>
            </w:pPr>
            <w:r>
              <w:rPr>
                <w:rFonts w:cs="Tahoma"/>
                <w:color w:val="000000"/>
              </w:rPr>
              <w:t>-</w:t>
            </w:r>
          </w:p>
        </w:tc>
        <w:tc>
          <w:tcPr>
            <w:tcW w:w="1305" w:type="dxa"/>
            <w:tcBorders>
              <w:top w:val="nil"/>
              <w:left w:val="nil"/>
              <w:bottom w:val="single" w:sz="8" w:space="0" w:color="auto"/>
              <w:right w:val="single" w:sz="8" w:space="0" w:color="auto"/>
            </w:tcBorders>
          </w:tcPr>
          <w:p w14:paraId="0B76F7D1" w14:textId="5CCDF3AC" w:rsidR="00255E0D" w:rsidRDefault="00255E0D" w:rsidP="00255E0D">
            <w:pPr>
              <w:jc w:val="center"/>
              <w:rPr>
                <w:rFonts w:cs="Tahoma"/>
                <w:color w:val="000000"/>
              </w:rPr>
            </w:pPr>
            <w:r>
              <w:rPr>
                <w:rFonts w:cs="Tahoma"/>
                <w:color w:val="000000"/>
              </w:rPr>
              <w:t>-</w:t>
            </w:r>
          </w:p>
        </w:tc>
      </w:tr>
      <w:tr w:rsidR="00255E0D" w14:paraId="21EC1876" w14:textId="6E0DBB4E" w:rsidTr="00255E0D">
        <w:trPr>
          <w:trHeight w:val="288"/>
        </w:trPr>
        <w:tc>
          <w:tcPr>
            <w:tcW w:w="2202" w:type="dxa"/>
            <w:tcBorders>
              <w:top w:val="nil"/>
              <w:left w:val="single" w:sz="8" w:space="0" w:color="auto"/>
              <w:bottom w:val="single" w:sz="8" w:space="0" w:color="auto"/>
              <w:right w:val="single" w:sz="8" w:space="0" w:color="auto"/>
            </w:tcBorders>
            <w:shd w:val="clear" w:color="auto" w:fill="auto"/>
            <w:vAlign w:val="center"/>
            <w:hideMark/>
          </w:tcPr>
          <w:p w14:paraId="3FBC016C" w14:textId="77777777" w:rsidR="00255E0D" w:rsidRPr="00D03CB5" w:rsidRDefault="00255E0D" w:rsidP="00975433">
            <w:pPr>
              <w:pStyle w:val="NoSpacing"/>
              <w:rPr>
                <w:b/>
              </w:rPr>
            </w:pPr>
            <w:r w:rsidRPr="00D03CB5">
              <w:rPr>
                <w:b/>
              </w:rPr>
              <w:t>Total</w:t>
            </w:r>
          </w:p>
        </w:tc>
        <w:tc>
          <w:tcPr>
            <w:tcW w:w="998" w:type="dxa"/>
            <w:tcBorders>
              <w:top w:val="nil"/>
              <w:left w:val="nil"/>
              <w:bottom w:val="single" w:sz="8" w:space="0" w:color="auto"/>
              <w:right w:val="single" w:sz="8" w:space="0" w:color="auto"/>
            </w:tcBorders>
            <w:shd w:val="clear" w:color="auto" w:fill="auto"/>
            <w:vAlign w:val="bottom"/>
            <w:hideMark/>
          </w:tcPr>
          <w:p w14:paraId="2A8F6879" w14:textId="77777777" w:rsidR="00255E0D" w:rsidRPr="000B514A" w:rsidRDefault="00255E0D" w:rsidP="00975433">
            <w:pPr>
              <w:jc w:val="right"/>
              <w:rPr>
                <w:rFonts w:cs="Tahoma"/>
                <w:b/>
                <w:color w:val="000000"/>
              </w:rPr>
            </w:pPr>
            <w:r w:rsidRPr="000B514A">
              <w:rPr>
                <w:rFonts w:cs="Tahoma"/>
                <w:b/>
                <w:color w:val="000000"/>
              </w:rPr>
              <w:t>172</w:t>
            </w:r>
          </w:p>
        </w:tc>
        <w:tc>
          <w:tcPr>
            <w:tcW w:w="1709" w:type="dxa"/>
            <w:tcBorders>
              <w:top w:val="nil"/>
              <w:left w:val="nil"/>
              <w:bottom w:val="single" w:sz="8" w:space="0" w:color="auto"/>
              <w:right w:val="single" w:sz="8" w:space="0" w:color="auto"/>
            </w:tcBorders>
            <w:shd w:val="clear" w:color="auto" w:fill="auto"/>
            <w:vAlign w:val="bottom"/>
            <w:hideMark/>
          </w:tcPr>
          <w:p w14:paraId="5AA7B46F" w14:textId="77777777" w:rsidR="00255E0D" w:rsidRPr="000B514A" w:rsidRDefault="00255E0D" w:rsidP="00975433">
            <w:pPr>
              <w:jc w:val="right"/>
              <w:rPr>
                <w:rFonts w:cs="Tahoma"/>
                <w:b/>
                <w:color w:val="000000"/>
              </w:rPr>
            </w:pPr>
            <w:r w:rsidRPr="000B514A">
              <w:rPr>
                <w:rFonts w:cs="Tahoma"/>
                <w:b/>
                <w:color w:val="000000"/>
              </w:rPr>
              <w:t>$6,576,014</w:t>
            </w:r>
          </w:p>
        </w:tc>
        <w:tc>
          <w:tcPr>
            <w:tcW w:w="1347" w:type="dxa"/>
            <w:tcBorders>
              <w:top w:val="nil"/>
              <w:left w:val="nil"/>
              <w:bottom w:val="single" w:sz="8" w:space="0" w:color="auto"/>
              <w:right w:val="single" w:sz="8" w:space="0" w:color="auto"/>
            </w:tcBorders>
            <w:shd w:val="clear" w:color="auto" w:fill="auto"/>
            <w:vAlign w:val="bottom"/>
            <w:hideMark/>
          </w:tcPr>
          <w:p w14:paraId="6EC1F54A" w14:textId="77777777" w:rsidR="00255E0D" w:rsidRPr="000B514A" w:rsidRDefault="00255E0D" w:rsidP="00975433">
            <w:pPr>
              <w:jc w:val="right"/>
              <w:rPr>
                <w:rFonts w:cs="Tahoma"/>
                <w:b/>
                <w:color w:val="000000"/>
              </w:rPr>
            </w:pPr>
            <w:r w:rsidRPr="000B514A">
              <w:rPr>
                <w:rFonts w:cs="Tahoma"/>
                <w:b/>
                <w:color w:val="000000"/>
              </w:rPr>
              <w:t>$14,975,641</w:t>
            </w:r>
          </w:p>
        </w:tc>
        <w:tc>
          <w:tcPr>
            <w:tcW w:w="1305" w:type="dxa"/>
            <w:tcBorders>
              <w:top w:val="nil"/>
              <w:left w:val="nil"/>
              <w:bottom w:val="single" w:sz="8" w:space="0" w:color="auto"/>
              <w:right w:val="single" w:sz="8" w:space="0" w:color="auto"/>
            </w:tcBorders>
          </w:tcPr>
          <w:p w14:paraId="440D22AE" w14:textId="64B14FBC" w:rsidR="00255E0D" w:rsidRPr="00255E0D" w:rsidRDefault="00255E0D" w:rsidP="00255E0D">
            <w:pPr>
              <w:jc w:val="right"/>
              <w:rPr>
                <w:rFonts w:cs="Tahoma"/>
                <w:b/>
                <w:color w:val="000000"/>
              </w:rPr>
            </w:pPr>
            <w:r w:rsidRPr="00255E0D">
              <w:rPr>
                <w:rFonts w:cs="Tahoma"/>
                <w:b/>
                <w:color w:val="000000"/>
              </w:rPr>
              <w:t xml:space="preserve">$436,457 </w:t>
            </w:r>
          </w:p>
        </w:tc>
        <w:tc>
          <w:tcPr>
            <w:tcW w:w="1305" w:type="dxa"/>
            <w:tcBorders>
              <w:top w:val="nil"/>
              <w:left w:val="nil"/>
              <w:bottom w:val="single" w:sz="8" w:space="0" w:color="auto"/>
              <w:right w:val="single" w:sz="8" w:space="0" w:color="auto"/>
            </w:tcBorders>
          </w:tcPr>
          <w:p w14:paraId="1FD789E3" w14:textId="6A0AAF40" w:rsidR="00255E0D" w:rsidRPr="00255E0D" w:rsidRDefault="00255E0D" w:rsidP="00255E0D">
            <w:pPr>
              <w:jc w:val="right"/>
              <w:rPr>
                <w:rFonts w:cs="Tahoma"/>
                <w:b/>
                <w:color w:val="000000"/>
              </w:rPr>
            </w:pPr>
            <w:r w:rsidRPr="00255E0D">
              <w:rPr>
                <w:rFonts w:cs="Tahoma"/>
                <w:b/>
                <w:color w:val="000000"/>
              </w:rPr>
              <w:t xml:space="preserve">$459,503 </w:t>
            </w:r>
          </w:p>
        </w:tc>
      </w:tr>
    </w:tbl>
    <w:p w14:paraId="1D5B60B5" w14:textId="2582384E" w:rsidR="00293F28" w:rsidRPr="00255E0D" w:rsidRDefault="00255E0D" w:rsidP="00255E0D">
      <w:pPr>
        <w:spacing w:after="200" w:line="300" w:lineRule="auto"/>
        <w:rPr>
          <w:sz w:val="20"/>
        </w:rPr>
      </w:pPr>
      <w:r w:rsidRPr="0048482F">
        <w:rPr>
          <w:sz w:val="20"/>
        </w:rPr>
        <w:t>Source: Sage, IMPLAN</w:t>
      </w:r>
      <w:r w:rsidR="00293F28">
        <w:rPr>
          <w:b/>
          <w:color w:val="1F4E79" w:themeColor="accent1" w:themeShade="80"/>
          <w:sz w:val="30"/>
          <w:szCs w:val="30"/>
        </w:rPr>
        <w:br w:type="page"/>
      </w:r>
    </w:p>
    <w:p w14:paraId="3A05BF5E" w14:textId="71E29AD9" w:rsidR="008B4A0A" w:rsidRPr="00C60831" w:rsidRDefault="00137D69" w:rsidP="001124D9">
      <w:pPr>
        <w:spacing w:line="252" w:lineRule="auto"/>
        <w:jc w:val="center"/>
        <w:rPr>
          <w:b/>
          <w:color w:val="1F4E79" w:themeColor="accent1" w:themeShade="80"/>
          <w:sz w:val="30"/>
          <w:szCs w:val="30"/>
        </w:rPr>
      </w:pPr>
      <w:r>
        <w:rPr>
          <w:b/>
          <w:color w:val="1F4E79" w:themeColor="accent1" w:themeShade="80"/>
          <w:sz w:val="30"/>
          <w:szCs w:val="30"/>
        </w:rPr>
        <w:lastRenderedPageBreak/>
        <w:t>The Economic Impacts of Sail Baltimore</w:t>
      </w:r>
    </w:p>
    <w:p w14:paraId="098B4428" w14:textId="77777777" w:rsidR="008B4A0A" w:rsidRPr="004C553C" w:rsidRDefault="008B4A0A" w:rsidP="00783B9D">
      <w:pPr>
        <w:spacing w:line="276" w:lineRule="auto"/>
        <w:rPr>
          <w:u w:val="single"/>
        </w:rPr>
      </w:pPr>
    </w:p>
    <w:p w14:paraId="3EC25F30" w14:textId="77777777" w:rsidR="008B4A0A" w:rsidRPr="00783B9D" w:rsidRDefault="008B4A0A" w:rsidP="00513775">
      <w:pPr>
        <w:pStyle w:val="Heading1"/>
        <w:rPr>
          <w:sz w:val="28"/>
        </w:rPr>
      </w:pPr>
      <w:bookmarkStart w:id="21" w:name="_Toc435780590"/>
      <w:bookmarkStart w:id="22" w:name="_Toc309890108"/>
      <w:r w:rsidRPr="00783B9D">
        <w:rPr>
          <w:sz w:val="28"/>
        </w:rPr>
        <w:t>Introduction</w:t>
      </w:r>
      <w:bookmarkEnd w:id="21"/>
      <w:bookmarkEnd w:id="22"/>
    </w:p>
    <w:p w14:paraId="41CA982B" w14:textId="77777777" w:rsidR="008B4A0A" w:rsidRPr="004C553C" w:rsidRDefault="008B4A0A" w:rsidP="00DF7191">
      <w:pPr>
        <w:spacing w:line="276" w:lineRule="auto"/>
        <w:rPr>
          <w:b/>
        </w:rPr>
      </w:pPr>
    </w:p>
    <w:p w14:paraId="143C7A66" w14:textId="77777777" w:rsidR="006037F2" w:rsidRDefault="006037F2" w:rsidP="00C96C29">
      <w:pPr>
        <w:spacing w:after="200" w:line="300" w:lineRule="auto"/>
      </w:pPr>
      <w:bookmarkStart w:id="23" w:name="_Toc309890109"/>
      <w:r>
        <w:t xml:space="preserve">Sail Baltimore </w:t>
      </w:r>
      <w:r w:rsidR="00783B9D">
        <w:t>commissioned Sage Policy Gr</w:t>
      </w:r>
      <w:r>
        <w:t>oup, Inc. (Sa</w:t>
      </w:r>
      <w:r w:rsidR="004C553C">
        <w:t>ge) to assess the organization’s</w:t>
      </w:r>
      <w:r>
        <w:t xml:space="preserve"> economic </w:t>
      </w:r>
      <w:r w:rsidR="004C553C">
        <w:t>contributions to</w:t>
      </w:r>
      <w:r>
        <w:t xml:space="preserve"> Baltimore City</w:t>
      </w:r>
      <w:r w:rsidR="00783B9D">
        <w:t>.</w:t>
      </w:r>
      <w:r>
        <w:t xml:space="preserve"> </w:t>
      </w:r>
      <w:r w:rsidR="004C553C">
        <w:t xml:space="preserve"> </w:t>
      </w:r>
      <w:r>
        <w:t>Sail Baltimore is a 501(c)(3) nonp</w:t>
      </w:r>
      <w:r w:rsidR="004C553C">
        <w:t xml:space="preserve">rofit located in Baltimore </w:t>
      </w:r>
      <w:r>
        <w:t xml:space="preserve">that operates </w:t>
      </w:r>
      <w:r w:rsidR="004C553C">
        <w:t xml:space="preserve">under the auspices of a volunteer board of directors that deploys an efficient staff augmented by community volunteers.  </w:t>
      </w:r>
      <w:r>
        <w:t xml:space="preserve">The organization is </w:t>
      </w:r>
      <w:r w:rsidR="004C553C">
        <w:t xml:space="preserve">primarily supported </w:t>
      </w:r>
      <w:r>
        <w:t xml:space="preserve">by corporate and individual donations </w:t>
      </w:r>
      <w:r w:rsidR="004C553C">
        <w:t xml:space="preserve">and receives a modicum </w:t>
      </w:r>
      <w:r>
        <w:t xml:space="preserve">of public funding. </w:t>
      </w:r>
    </w:p>
    <w:p w14:paraId="6F30472F" w14:textId="77777777" w:rsidR="0039463E" w:rsidRDefault="006037F2" w:rsidP="00C96C29">
      <w:pPr>
        <w:spacing w:after="200" w:line="300" w:lineRule="auto"/>
      </w:pPr>
      <w:r>
        <w:t xml:space="preserve">Visiting Ships, the </w:t>
      </w:r>
      <w:r w:rsidR="004C553C">
        <w:t>organization’s signature endeavor</w:t>
      </w:r>
      <w:r>
        <w:t xml:space="preserve">, welcomes a variety of ships to Baltimore’s waterfront. </w:t>
      </w:r>
      <w:r w:rsidR="004C553C">
        <w:t xml:space="preserve"> </w:t>
      </w:r>
      <w:r>
        <w:t>Sail Baltimore commits significant resources to attracting tall ships, historic and current military vessels, and othe</w:t>
      </w:r>
      <w:r w:rsidR="004C553C">
        <w:t>r types of ships to the Inner H</w:t>
      </w:r>
      <w:r>
        <w:t>arbor.</w:t>
      </w:r>
      <w:r w:rsidR="004C553C">
        <w:t xml:space="preserve">  Especially</w:t>
      </w:r>
      <w:r>
        <w:t xml:space="preserve"> </w:t>
      </w:r>
      <w:r w:rsidR="00572B8C">
        <w:t>interesting and historic ships are</w:t>
      </w:r>
      <w:r w:rsidR="0039463E">
        <w:t xml:space="preserve"> much sought after in many harbors, and Sail Baltimore supplies Baltimore with a capacity to compete for these ship visits.  This supports greater spending in the local economy, hotel and other tax revenues, and employment.  Over time, Sail Baltimore has developed a global reputation for reliability, and Baltimore has established itself as a noteworthy maritime destination.</w:t>
      </w:r>
    </w:p>
    <w:p w14:paraId="2A27D5C1" w14:textId="77777777" w:rsidR="0039463E" w:rsidRDefault="0039463E" w:rsidP="00C96C29">
      <w:pPr>
        <w:spacing w:after="200" w:line="300" w:lineRule="auto"/>
      </w:pPr>
      <w:r>
        <w:t xml:space="preserve">But </w:t>
      </w:r>
      <w:r w:rsidR="002111C2">
        <w:t>Sail Baltimore does more than just attract ships t</w:t>
      </w:r>
      <w:r>
        <w:t>o the harbor.  Staff and volunteers tend to every detail pertinent to a ship’s visit through departure.  Meetings are coordinated, embassies notified, ceremonies organized, and needed services provided to crews.</w:t>
      </w:r>
    </w:p>
    <w:p w14:paraId="5540145E" w14:textId="41DB6C28" w:rsidR="0039463E" w:rsidRDefault="002111C2" w:rsidP="002111C2">
      <w:pPr>
        <w:spacing w:after="200" w:line="300" w:lineRule="auto"/>
      </w:pPr>
      <w:r w:rsidRPr="0039463E">
        <w:t>Sail Baltimore’s Visiting Ships program</w:t>
      </w:r>
      <w:r w:rsidR="00255E0D">
        <w:t xml:space="preserve"> attracts</w:t>
      </w:r>
      <w:r w:rsidRPr="0039463E">
        <w:t xml:space="preserve"> </w:t>
      </w:r>
      <w:r w:rsidR="0039463E">
        <w:t>approximately</w:t>
      </w:r>
      <w:r w:rsidRPr="0039463E">
        <w:t xml:space="preserve"> </w:t>
      </w:r>
      <w:r w:rsidR="0039463E">
        <w:t xml:space="preserve">100,000 </w:t>
      </w:r>
      <w:r w:rsidRPr="0039463E">
        <w:t xml:space="preserve">visitors to </w:t>
      </w:r>
      <w:r w:rsidR="0039463E">
        <w:t xml:space="preserve">the Inner Harbor each year.  This is remarkable for an organization that has only one full-time employee and three-part timers.  Total organizational compensation is just $120,000/annum.  The organization has an </w:t>
      </w:r>
      <w:r w:rsidR="00255E0D">
        <w:t>operating</w:t>
      </w:r>
      <w:r w:rsidR="0039463E">
        <w:t xml:space="preserve"> budget of about $250,000.</w:t>
      </w:r>
    </w:p>
    <w:p w14:paraId="165A5063" w14:textId="473B5EED" w:rsidR="000E065C" w:rsidRDefault="0018360F" w:rsidP="002111C2">
      <w:pPr>
        <w:spacing w:after="200" w:line="300" w:lineRule="auto"/>
      </w:pPr>
      <w:r>
        <w:t>While the organization</w:t>
      </w:r>
      <w:r w:rsidR="0039463E">
        <w:t>’</w:t>
      </w:r>
      <w:r>
        <w:t>s ability t</w:t>
      </w:r>
      <w:r w:rsidR="0039463E">
        <w:t>o attract visitors to the harbor represents its primary source</w:t>
      </w:r>
      <w:r>
        <w:t xml:space="preserve"> of </w:t>
      </w:r>
      <w:r w:rsidR="0039463E">
        <w:t xml:space="preserve">positive </w:t>
      </w:r>
      <w:r>
        <w:t xml:space="preserve">economic impact, </w:t>
      </w:r>
      <w:r w:rsidR="0039463E">
        <w:t>there are others.  Sail Baltimore also</w:t>
      </w:r>
      <w:r w:rsidR="009E6C37">
        <w:t xml:space="preserve"> serves as an important partner in</w:t>
      </w:r>
      <w:r w:rsidR="0039463E">
        <w:t xml:space="preserve"> organiz</w:t>
      </w:r>
      <w:r w:rsidR="009E6C37">
        <w:t>ing</w:t>
      </w:r>
      <w:r w:rsidR="0039463E">
        <w:t xml:space="preserve"> events, including the monumental </w:t>
      </w:r>
      <w:r w:rsidR="00C412EF">
        <w:t>Star-Spangled Sail</w:t>
      </w:r>
      <w:r w:rsidR="0039463E">
        <w:t>abration of</w:t>
      </w:r>
      <w:r w:rsidR="00C412EF">
        <w:t xml:space="preserve"> 2012, </w:t>
      </w:r>
      <w:r w:rsidR="0039463E">
        <w:t>the Star-Spangled Spectacular of</w:t>
      </w:r>
      <w:r w:rsidR="00C412EF">
        <w:t xml:space="preserve"> 2014, and the </w:t>
      </w:r>
      <w:r>
        <w:t>Maryland</w:t>
      </w:r>
      <w:r w:rsidR="0039463E">
        <w:t xml:space="preserve"> Fleet Week &amp; Air Show of</w:t>
      </w:r>
      <w:r w:rsidR="00C412EF">
        <w:t xml:space="preserve"> 2016. </w:t>
      </w:r>
      <w:r w:rsidR="0039463E">
        <w:t xml:space="preserve"> </w:t>
      </w:r>
      <w:r w:rsidR="00C412EF">
        <w:t>These events</w:t>
      </w:r>
      <w:r w:rsidR="0039463E">
        <w:t xml:space="preserve"> attract hundreds of thousands of additional visitors to Baltimore, generating large-scale economic and fiscal impacts in the process.  </w:t>
      </w:r>
    </w:p>
    <w:p w14:paraId="21CAB192" w14:textId="77777777" w:rsidR="00C412EF" w:rsidRDefault="0039463E" w:rsidP="002111C2">
      <w:pPr>
        <w:spacing w:after="200" w:line="300" w:lineRule="auto"/>
      </w:pPr>
      <w:r>
        <w:t xml:space="preserve">These impacts have been studied by others and are not included as part of this Sage study.  Rather, Sage has focused </w:t>
      </w:r>
      <w:r w:rsidR="000E065C">
        <w:t xml:space="preserve">this analysis </w:t>
      </w:r>
      <w:r>
        <w:t>on the economic impacts of Sail Balt</w:t>
      </w:r>
      <w:r w:rsidR="000E065C">
        <w:t xml:space="preserve">imore’s signature endeavor, </w:t>
      </w:r>
      <w:r>
        <w:t xml:space="preserve">Visiting Ships, </w:t>
      </w:r>
      <w:r w:rsidR="000E065C">
        <w:t>as well as upon the impacts stemming from its operational spending within Maryland.</w:t>
      </w:r>
    </w:p>
    <w:p w14:paraId="780AEC14" w14:textId="77777777" w:rsidR="0039463E" w:rsidRDefault="0039463E">
      <w:pPr>
        <w:rPr>
          <w:b/>
          <w:color w:val="1F4E79" w:themeColor="accent1" w:themeShade="80"/>
          <w:sz w:val="28"/>
          <w:szCs w:val="26"/>
        </w:rPr>
      </w:pPr>
      <w:r>
        <w:rPr>
          <w:sz w:val="28"/>
        </w:rPr>
        <w:br w:type="page"/>
      </w:r>
    </w:p>
    <w:p w14:paraId="560FA464" w14:textId="77777777" w:rsidR="002029CF" w:rsidRDefault="002029CF" w:rsidP="002029CF">
      <w:pPr>
        <w:pStyle w:val="Heading1"/>
        <w:rPr>
          <w:sz w:val="28"/>
        </w:rPr>
      </w:pPr>
      <w:r w:rsidRPr="002029CF">
        <w:rPr>
          <w:sz w:val="28"/>
        </w:rPr>
        <w:t>Methodology</w:t>
      </w:r>
      <w:r w:rsidR="00BC0D8D">
        <w:rPr>
          <w:sz w:val="28"/>
        </w:rPr>
        <w:t xml:space="preserve"> &amp; Inputs</w:t>
      </w:r>
    </w:p>
    <w:p w14:paraId="3122642D" w14:textId="77777777" w:rsidR="0039463E" w:rsidRPr="0039463E" w:rsidRDefault="0039463E" w:rsidP="0039463E"/>
    <w:p w14:paraId="0F69CFA4" w14:textId="77777777" w:rsidR="000E065C" w:rsidRDefault="002029CF" w:rsidP="002029CF">
      <w:pPr>
        <w:spacing w:after="200" w:line="300" w:lineRule="auto"/>
      </w:pPr>
      <w:r w:rsidRPr="002D30C7">
        <w:t>To quan</w:t>
      </w:r>
      <w:r>
        <w:t>tify economic impacts, Sage uses</w:t>
      </w:r>
      <w:r w:rsidRPr="002D30C7">
        <w:t xml:space="preserve"> </w:t>
      </w:r>
      <w:r>
        <w:t>IMPLAN</w:t>
      </w:r>
      <w:r w:rsidRPr="002D30C7">
        <w:t xml:space="preserve"> economic modeling software and its </w:t>
      </w:r>
      <w:r>
        <w:t>embodied</w:t>
      </w:r>
      <w:r w:rsidRPr="002D30C7">
        <w:t xml:space="preserve"> multipliers to generate estimates of employment, employee compensation, and output.</w:t>
      </w:r>
      <w:r w:rsidR="000E065C" w:rsidRPr="000E065C">
        <w:rPr>
          <w:vertAlign w:val="superscript"/>
        </w:rPr>
        <w:footnoteReference w:id="1"/>
      </w:r>
      <w:r w:rsidRPr="000E065C">
        <w:rPr>
          <w:vertAlign w:val="superscript"/>
        </w:rPr>
        <w:t xml:space="preserve"> </w:t>
      </w:r>
      <w:r w:rsidRPr="002D30C7">
        <w:t xml:space="preserve"> </w:t>
      </w:r>
      <w:r w:rsidR="000E065C">
        <w:t xml:space="preserve">The multipliers are specific to Baltimore’s economy.  </w:t>
      </w:r>
    </w:p>
    <w:p w14:paraId="694F9061" w14:textId="77777777" w:rsidR="002029CF" w:rsidRPr="002D30C7" w:rsidRDefault="002029CF" w:rsidP="002029CF">
      <w:pPr>
        <w:spacing w:after="200" w:line="300" w:lineRule="auto"/>
      </w:pPr>
      <w:r w:rsidRPr="002D30C7">
        <w:t>Calculated employment impacts include both full</w:t>
      </w:r>
      <w:r>
        <w:t>-</w:t>
      </w:r>
      <w:r w:rsidRPr="002D30C7">
        <w:t xml:space="preserve"> and part-time workers.  Results are presented in the form of full-time equivalents (FTE), meaning that one job is </w:t>
      </w:r>
      <w:r>
        <w:t xml:space="preserve">the equivalent of one year of </w:t>
      </w:r>
      <w:r w:rsidRPr="002D30C7">
        <w:t>full</w:t>
      </w:r>
      <w:r>
        <w:t>-</w:t>
      </w:r>
      <w:r w:rsidRPr="002D30C7">
        <w:t>time employment.  Labor income encompasses all forms of employment income including employee compensation (wages and benefits) and proprietor income (earnings of business owners).  Output represents the sum of business sales (good</w:t>
      </w:r>
      <w:r w:rsidR="000E065C">
        <w:t>s</w:t>
      </w:r>
      <w:r w:rsidRPr="002D30C7">
        <w:t xml:space="preserve"> and services) that occur as a result of </w:t>
      </w:r>
      <w:r w:rsidR="000E065C">
        <w:t>Sail Baltimore’s operational activities</w:t>
      </w:r>
      <w:r>
        <w:t xml:space="preserve">. </w:t>
      </w:r>
    </w:p>
    <w:p w14:paraId="2C62D638" w14:textId="77777777" w:rsidR="000E065C" w:rsidRDefault="002029CF" w:rsidP="002029CF">
      <w:pPr>
        <w:spacing w:after="200" w:line="300" w:lineRule="auto"/>
      </w:pPr>
      <w:r w:rsidRPr="002D30C7">
        <w:t>To conduct the fiscal portion of the analysis, Sage accessed publicly available information including government-published tax rates and budgetary information.  Some fiscal impacts were cr</w:t>
      </w:r>
      <w:r w:rsidR="000E065C">
        <w:t xml:space="preserve">eated </w:t>
      </w:r>
      <w:r>
        <w:t>within IMPLAN, which incorporates community-specific tax rates.</w:t>
      </w:r>
      <w:r w:rsidR="00115FA3">
        <w:t xml:space="preserve"> </w:t>
      </w:r>
      <w:r w:rsidR="000E065C">
        <w:t xml:space="preserve"> Other fiscal estimates were developed outside the model using estimates of effective tax rates.</w:t>
      </w:r>
    </w:p>
    <w:p w14:paraId="66C0FB48" w14:textId="77777777" w:rsidR="002029CF" w:rsidRDefault="002029CF" w:rsidP="002029CF">
      <w:pPr>
        <w:spacing w:after="200" w:line="300" w:lineRule="auto"/>
      </w:pPr>
      <w:r>
        <w:t xml:space="preserve">Economic impacts are presented in the form of </w:t>
      </w:r>
      <w:r w:rsidRPr="000E065C">
        <w:t>direct impacts</w:t>
      </w:r>
      <w:r>
        <w:t xml:space="preserve"> as well as in the form of secondary impacts.  Direct impacts are generated by Sail Baltimore’s operational spending as well as by the first round of visitor spending in the local economy.</w:t>
      </w:r>
    </w:p>
    <w:p w14:paraId="1474EA4D" w14:textId="77777777" w:rsidR="002029CF" w:rsidRDefault="002029CF" w:rsidP="002029CF">
      <w:pPr>
        <w:spacing w:after="200" w:line="300" w:lineRule="auto"/>
      </w:pPr>
      <w:r>
        <w:t xml:space="preserve">Secondary impacts can collectively be considered the multiplier effect, and can be segmented into two types of impacts – </w:t>
      </w:r>
      <w:r w:rsidRPr="000E065C">
        <w:t>indirect and induced</w:t>
      </w:r>
      <w:r>
        <w:t xml:space="preserve">.  </w:t>
      </w:r>
      <w:r w:rsidRPr="00377922">
        <w:t>I</w:t>
      </w:r>
      <w:r>
        <w:t>ndirect benefits are generated through</w:t>
      </w:r>
      <w:r w:rsidRPr="00377922">
        <w:t xml:space="preserve"> </w:t>
      </w:r>
      <w:r>
        <w:t>the expanded volume of business-to-business transactions attributable to a larger local economy.  For instance, increased spending at restaurants due to expanded visitation will likely lead to increased sales among local food distributors.  Induced benefits are triggered when workers primarily or secondarily supported through enhanced</w:t>
      </w:r>
      <w:r w:rsidRPr="00377922">
        <w:t xml:space="preserve"> economic activity spend their </w:t>
      </w:r>
      <w:r>
        <w:t>earnings in the local economy.</w:t>
      </w:r>
    </w:p>
    <w:p w14:paraId="644D4A16" w14:textId="77777777" w:rsidR="00115FA3" w:rsidRPr="00115FA3" w:rsidRDefault="002029CF" w:rsidP="00115FA3">
      <w:pPr>
        <w:spacing w:after="200" w:line="300" w:lineRule="auto"/>
      </w:pPr>
      <w:r>
        <w:t xml:space="preserve">To the extent that expenditures by businesses or consumers take place beyond Baltimore City’s boundaries, they are not considered in Sage’s impact estimates.  Appendix A at the end of this report supplies additional detail regarding the </w:t>
      </w:r>
      <w:r w:rsidR="00115FA3">
        <w:t>workings of the IMPLAN model.</w:t>
      </w:r>
    </w:p>
    <w:p w14:paraId="04201E17" w14:textId="77777777" w:rsidR="000E065C" w:rsidRDefault="000E065C">
      <w:pPr>
        <w:rPr>
          <w:b/>
          <w:color w:val="1F4E79" w:themeColor="accent1" w:themeShade="80"/>
        </w:rPr>
      </w:pPr>
      <w:r>
        <w:br w:type="page"/>
      </w:r>
    </w:p>
    <w:p w14:paraId="5F2F01A4" w14:textId="77777777" w:rsidR="00C412EF" w:rsidRDefault="00C412EF" w:rsidP="00BC0D8D">
      <w:pPr>
        <w:pStyle w:val="Heading2"/>
      </w:pPr>
      <w:r>
        <w:t>Visitor-Related Impacts</w:t>
      </w:r>
    </w:p>
    <w:p w14:paraId="295ECDA4" w14:textId="77777777" w:rsidR="00C412EF" w:rsidRDefault="00C412EF" w:rsidP="00C412EF"/>
    <w:p w14:paraId="3503D6FC" w14:textId="5E5FCC6C" w:rsidR="00C412EF" w:rsidRDefault="00C412EF" w:rsidP="00C412EF">
      <w:pPr>
        <w:spacing w:after="200" w:line="300" w:lineRule="auto"/>
      </w:pPr>
      <w:r>
        <w:t xml:space="preserve">Sail Baltimore attracted 111,500 visitors in 2016, </w:t>
      </w:r>
      <w:r w:rsidR="0028290E">
        <w:t>due partly</w:t>
      </w:r>
      <w:r w:rsidR="000E065C">
        <w:t xml:space="preserve"> to </w:t>
      </w:r>
      <w:r>
        <w:t>the</w:t>
      </w:r>
      <w:r w:rsidR="002A2719">
        <w:t xml:space="preserve"> Maryland Fleet Week &amp; Air Show </w:t>
      </w:r>
      <w:r>
        <w:t xml:space="preserve">Baltimore. </w:t>
      </w:r>
      <w:r w:rsidR="000E065C">
        <w:t xml:space="preserve"> </w:t>
      </w:r>
      <w:r>
        <w:t>In a non-event year</w:t>
      </w:r>
      <w:r w:rsidR="000E065C">
        <w:t xml:space="preserve"> </w:t>
      </w:r>
      <w:r>
        <w:t>—</w:t>
      </w:r>
      <w:r w:rsidR="000E065C">
        <w:t xml:space="preserve"> </w:t>
      </w:r>
      <w:r>
        <w:t xml:space="preserve">which </w:t>
      </w:r>
      <w:r w:rsidR="000E065C">
        <w:t>has tended</w:t>
      </w:r>
      <w:r>
        <w:t xml:space="preserve"> to be every other year</w:t>
      </w:r>
      <w:r w:rsidR="000E065C">
        <w:t xml:space="preserve"> </w:t>
      </w:r>
      <w:r>
        <w:t>—</w:t>
      </w:r>
      <w:r w:rsidR="000E065C">
        <w:t xml:space="preserve"> </w:t>
      </w:r>
      <w:r>
        <w:t>Sail Baltimore attracts roughly 80,000 visitors.</w:t>
      </w:r>
      <w:r w:rsidR="000E065C">
        <w:t xml:space="preserve">  Accordingly, to model annual impacts this model uses an </w:t>
      </w:r>
      <w:r w:rsidR="0028290E">
        <w:t>estimate of 95,000 visitors/</w:t>
      </w:r>
      <w:r w:rsidR="000E065C">
        <w:t>annum to model impacts flowing from visitor spending.</w:t>
      </w:r>
      <w:r>
        <w:t xml:space="preserve"> </w:t>
      </w:r>
    </w:p>
    <w:p w14:paraId="6F5B432E" w14:textId="77777777" w:rsidR="002029CF" w:rsidRDefault="002029CF" w:rsidP="00C412EF">
      <w:pPr>
        <w:spacing w:after="200" w:line="300" w:lineRule="auto"/>
      </w:pPr>
      <w:r>
        <w:t>Sage recently completed a comprehensive economic impact study on the Nati</w:t>
      </w:r>
      <w:r w:rsidR="000E065C">
        <w:t>onal Aquarium, the Inner H</w:t>
      </w:r>
      <w:r>
        <w:t>arbor</w:t>
      </w:r>
      <w:r w:rsidR="000E065C">
        <w:t>’s premier</w:t>
      </w:r>
      <w:r>
        <w:t xml:space="preserve"> attraction. </w:t>
      </w:r>
      <w:r w:rsidR="000E065C">
        <w:t xml:space="preserve"> </w:t>
      </w:r>
      <w:r>
        <w:t xml:space="preserve">That study used data produced by IMPACTS Research &amp; Development (IMPACTS) that estimated the spending habits of visitors to the National Aquarium. </w:t>
      </w:r>
    </w:p>
    <w:p w14:paraId="1B2D4069" w14:textId="24365323" w:rsidR="0028290E" w:rsidRDefault="002029CF" w:rsidP="00C412EF">
      <w:pPr>
        <w:spacing w:after="200" w:line="300" w:lineRule="auto"/>
      </w:pPr>
      <w:r>
        <w:t>For the purpo</w:t>
      </w:r>
      <w:r w:rsidR="000E065C">
        <w:t xml:space="preserve">ses of this analysis, Sage </w:t>
      </w:r>
      <w:r>
        <w:t>use</w:t>
      </w:r>
      <w:r w:rsidR="000E065C">
        <w:t xml:space="preserve">d </w:t>
      </w:r>
      <w:r>
        <w:t xml:space="preserve">findings from that </w:t>
      </w:r>
      <w:r w:rsidR="000E065C">
        <w:t xml:space="preserve">recent </w:t>
      </w:r>
      <w:r>
        <w:t xml:space="preserve">study </w:t>
      </w:r>
      <w:r w:rsidR="000E065C">
        <w:t xml:space="preserve">to assess probable </w:t>
      </w:r>
      <w:r>
        <w:t xml:space="preserve">day-trip visitor spending habits. </w:t>
      </w:r>
      <w:r w:rsidR="000E065C">
        <w:t xml:space="preserve"> Based on parameters </w:t>
      </w:r>
      <w:r w:rsidR="00293F28">
        <w:t xml:space="preserve">supplied by that study, </w:t>
      </w:r>
      <w:r w:rsidR="000E065C">
        <w:t xml:space="preserve">visitor spending </w:t>
      </w:r>
      <w:r w:rsidR="00293F28">
        <w:t xml:space="preserve">related to Visiting Ships </w:t>
      </w:r>
      <w:r w:rsidR="000E065C">
        <w:t>is estimated at $11.2 million.  However, this is likely an understatement since this figure presumes that no overnight stays are attributable to Sail Baltimore.  This presumption is made because of an absence of data</w:t>
      </w:r>
      <w:r w:rsidR="0028290E">
        <w:t xml:space="preserve"> indicating how many people stay overnight in Baltimore due to the presence of tall ships or other </w:t>
      </w:r>
      <w:r w:rsidR="00293F28">
        <w:t xml:space="preserve">similarly situated </w:t>
      </w:r>
      <w:r w:rsidR="0028290E">
        <w:t>opportunities made possible by Sail Baltimore</w:t>
      </w:r>
      <w:r w:rsidR="000E065C">
        <w:t>.</w:t>
      </w:r>
      <w:r w:rsidR="0028290E">
        <w:t xml:space="preserve">  Exhibit </w:t>
      </w:r>
      <w:r w:rsidR="002D1CC7">
        <w:t xml:space="preserve">1 </w:t>
      </w:r>
      <w:r w:rsidR="0028290E">
        <w:t>provides relevant statistical detail.</w:t>
      </w:r>
    </w:p>
    <w:p w14:paraId="320CC9FF" w14:textId="77777777" w:rsidR="002029CF" w:rsidRDefault="002029CF" w:rsidP="002029CF">
      <w:pPr>
        <w:pStyle w:val="Subtitle"/>
      </w:pPr>
      <w:bookmarkStart w:id="24" w:name="_Toc492393825"/>
      <w:r>
        <w:t>Exhibit 1: Visitor Spending Estimates 2016</w:t>
      </w:r>
      <w:bookmarkEnd w:id="24"/>
    </w:p>
    <w:tbl>
      <w:tblPr>
        <w:tblW w:w="7010" w:type="dxa"/>
        <w:tblLook w:val="04A0" w:firstRow="1" w:lastRow="0" w:firstColumn="1" w:lastColumn="0" w:noHBand="0" w:noVBand="1"/>
      </w:tblPr>
      <w:tblGrid>
        <w:gridCol w:w="3312"/>
        <w:gridCol w:w="1718"/>
        <w:gridCol w:w="1980"/>
      </w:tblGrid>
      <w:tr w:rsidR="002029CF" w:rsidRPr="003D41E5" w14:paraId="6E18AE91" w14:textId="5F871A91" w:rsidTr="0028290E">
        <w:trPr>
          <w:trHeight w:val="448"/>
        </w:trPr>
        <w:tc>
          <w:tcPr>
            <w:tcW w:w="3312" w:type="dxa"/>
            <w:tcBorders>
              <w:top w:val="single" w:sz="8" w:space="0" w:color="auto"/>
              <w:left w:val="single" w:sz="8" w:space="0" w:color="auto"/>
              <w:bottom w:val="single" w:sz="4" w:space="0" w:color="auto"/>
              <w:right w:val="single" w:sz="4" w:space="0" w:color="auto"/>
            </w:tcBorders>
            <w:shd w:val="clear" w:color="auto" w:fill="1F4E79" w:themeFill="accent1" w:themeFillShade="80"/>
            <w:vAlign w:val="bottom"/>
            <w:hideMark/>
          </w:tcPr>
          <w:p w14:paraId="2DA4F869" w14:textId="5D131AE5" w:rsidR="002029CF" w:rsidRPr="0028290E" w:rsidRDefault="002029CF" w:rsidP="002029CF">
            <w:pPr>
              <w:jc w:val="center"/>
              <w:rPr>
                <w:rFonts w:ascii="Times New Roman" w:hAnsi="Times New Roman"/>
                <w:b/>
                <w:bCs/>
                <w:color w:val="FFFFFF"/>
                <w:sz w:val="26"/>
                <w:szCs w:val="26"/>
              </w:rPr>
            </w:pPr>
            <w:r w:rsidRPr="0028290E">
              <w:rPr>
                <w:rFonts w:ascii="Times New Roman" w:hAnsi="Times New Roman"/>
                <w:b/>
                <w:bCs/>
                <w:color w:val="FFFFFF"/>
                <w:sz w:val="26"/>
                <w:szCs w:val="26"/>
              </w:rPr>
              <w:t>Category</w:t>
            </w:r>
          </w:p>
        </w:tc>
        <w:tc>
          <w:tcPr>
            <w:tcW w:w="1718" w:type="dxa"/>
            <w:tcBorders>
              <w:top w:val="single" w:sz="8" w:space="0" w:color="auto"/>
              <w:left w:val="nil"/>
              <w:bottom w:val="single" w:sz="4" w:space="0" w:color="auto"/>
              <w:right w:val="single" w:sz="4" w:space="0" w:color="auto"/>
            </w:tcBorders>
            <w:shd w:val="clear" w:color="auto" w:fill="1F4E79" w:themeFill="accent1" w:themeFillShade="80"/>
            <w:vAlign w:val="bottom"/>
            <w:hideMark/>
          </w:tcPr>
          <w:p w14:paraId="2CDAAA77" w14:textId="77777777" w:rsidR="002029CF" w:rsidRPr="0028290E" w:rsidRDefault="002029CF" w:rsidP="002029CF">
            <w:pPr>
              <w:jc w:val="center"/>
              <w:rPr>
                <w:rFonts w:ascii="Times New Roman" w:hAnsi="Times New Roman"/>
                <w:b/>
                <w:bCs/>
                <w:color w:val="FFFFFF"/>
                <w:sz w:val="26"/>
                <w:szCs w:val="26"/>
              </w:rPr>
            </w:pPr>
            <w:r w:rsidRPr="0028290E">
              <w:rPr>
                <w:rFonts w:ascii="Times New Roman" w:hAnsi="Times New Roman"/>
                <w:b/>
                <w:bCs/>
                <w:color w:val="FFFFFF"/>
                <w:sz w:val="26"/>
                <w:szCs w:val="26"/>
              </w:rPr>
              <w:t>Per Visitor Spending</w:t>
            </w:r>
          </w:p>
        </w:tc>
        <w:tc>
          <w:tcPr>
            <w:tcW w:w="1980" w:type="dxa"/>
            <w:tcBorders>
              <w:top w:val="single" w:sz="8" w:space="0" w:color="auto"/>
              <w:left w:val="nil"/>
              <w:bottom w:val="single" w:sz="4" w:space="0" w:color="auto"/>
              <w:right w:val="single" w:sz="8" w:space="0" w:color="auto"/>
            </w:tcBorders>
            <w:shd w:val="clear" w:color="auto" w:fill="1F4E79" w:themeFill="accent1" w:themeFillShade="80"/>
            <w:vAlign w:val="bottom"/>
            <w:hideMark/>
          </w:tcPr>
          <w:p w14:paraId="5BCA544C" w14:textId="77777777" w:rsidR="002029CF" w:rsidRPr="0028290E" w:rsidRDefault="002029CF" w:rsidP="002029CF">
            <w:pPr>
              <w:jc w:val="center"/>
              <w:rPr>
                <w:rFonts w:ascii="Times New Roman" w:hAnsi="Times New Roman"/>
                <w:b/>
                <w:bCs/>
                <w:color w:val="FFFFFF"/>
                <w:sz w:val="26"/>
                <w:szCs w:val="26"/>
              </w:rPr>
            </w:pPr>
            <w:r w:rsidRPr="0028290E">
              <w:rPr>
                <w:rFonts w:ascii="Times New Roman" w:hAnsi="Times New Roman"/>
                <w:b/>
                <w:bCs/>
                <w:color w:val="FFFFFF"/>
                <w:sz w:val="26"/>
                <w:szCs w:val="26"/>
              </w:rPr>
              <w:t>Total Visitor Spending</w:t>
            </w:r>
          </w:p>
        </w:tc>
      </w:tr>
      <w:tr w:rsidR="002029CF" w:rsidRPr="003D41E5" w14:paraId="20590B2E" w14:textId="77777777" w:rsidTr="00BC0D8D">
        <w:trPr>
          <w:trHeight w:val="291"/>
        </w:trPr>
        <w:tc>
          <w:tcPr>
            <w:tcW w:w="3312" w:type="dxa"/>
            <w:tcBorders>
              <w:top w:val="nil"/>
              <w:left w:val="single" w:sz="8" w:space="0" w:color="auto"/>
              <w:bottom w:val="single" w:sz="12" w:space="0" w:color="auto"/>
              <w:right w:val="single" w:sz="4" w:space="0" w:color="auto"/>
            </w:tcBorders>
            <w:shd w:val="clear" w:color="auto" w:fill="FFFFFF" w:themeFill="background1"/>
            <w:vAlign w:val="bottom"/>
            <w:hideMark/>
          </w:tcPr>
          <w:p w14:paraId="43EDE87C" w14:textId="77777777" w:rsidR="002029CF" w:rsidRPr="002029CF" w:rsidRDefault="002029CF" w:rsidP="002029CF">
            <w:pPr>
              <w:rPr>
                <w:b/>
                <w:color w:val="000000"/>
                <w:sz w:val="22"/>
              </w:rPr>
            </w:pPr>
            <w:r w:rsidRPr="002029CF">
              <w:rPr>
                <w:b/>
                <w:color w:val="000000"/>
                <w:sz w:val="22"/>
              </w:rPr>
              <w:t>Visitors</w:t>
            </w:r>
          </w:p>
        </w:tc>
        <w:tc>
          <w:tcPr>
            <w:tcW w:w="1718" w:type="dxa"/>
            <w:tcBorders>
              <w:top w:val="nil"/>
              <w:left w:val="nil"/>
              <w:bottom w:val="single" w:sz="12" w:space="0" w:color="auto"/>
              <w:right w:val="single" w:sz="4" w:space="0" w:color="auto"/>
            </w:tcBorders>
            <w:shd w:val="clear" w:color="auto" w:fill="FFFFFF" w:themeFill="background1"/>
            <w:vAlign w:val="bottom"/>
          </w:tcPr>
          <w:p w14:paraId="18FCC7F9" w14:textId="77777777" w:rsidR="002029CF" w:rsidRPr="002029CF" w:rsidRDefault="002029CF" w:rsidP="002029CF">
            <w:pPr>
              <w:jc w:val="center"/>
              <w:rPr>
                <w:b/>
                <w:color w:val="000000"/>
                <w:sz w:val="22"/>
              </w:rPr>
            </w:pPr>
            <w:r w:rsidRPr="002029CF">
              <w:rPr>
                <w:b/>
                <w:color w:val="000000"/>
                <w:sz w:val="22"/>
              </w:rPr>
              <w:t>-</w:t>
            </w:r>
          </w:p>
        </w:tc>
        <w:tc>
          <w:tcPr>
            <w:tcW w:w="1980" w:type="dxa"/>
            <w:tcBorders>
              <w:top w:val="nil"/>
              <w:left w:val="nil"/>
              <w:bottom w:val="single" w:sz="12" w:space="0" w:color="auto"/>
              <w:right w:val="single" w:sz="8" w:space="0" w:color="auto"/>
            </w:tcBorders>
            <w:shd w:val="clear" w:color="auto" w:fill="FFFFFF" w:themeFill="background1"/>
            <w:vAlign w:val="bottom"/>
          </w:tcPr>
          <w:p w14:paraId="349056A7" w14:textId="77777777" w:rsidR="002029CF" w:rsidRPr="002029CF" w:rsidRDefault="002029CF" w:rsidP="002029CF">
            <w:pPr>
              <w:jc w:val="right"/>
              <w:rPr>
                <w:b/>
                <w:color w:val="000000"/>
                <w:sz w:val="22"/>
              </w:rPr>
            </w:pPr>
            <w:r w:rsidRPr="002029CF">
              <w:rPr>
                <w:rFonts w:cs="Calibri"/>
                <w:b/>
                <w:color w:val="000000"/>
                <w:sz w:val="22"/>
              </w:rPr>
              <w:t xml:space="preserve">95,000 </w:t>
            </w:r>
          </w:p>
        </w:tc>
      </w:tr>
      <w:tr w:rsidR="002029CF" w:rsidRPr="003D41E5" w14:paraId="778377A0" w14:textId="77777777" w:rsidTr="00BC0D8D">
        <w:trPr>
          <w:trHeight w:val="291"/>
        </w:trPr>
        <w:tc>
          <w:tcPr>
            <w:tcW w:w="3312" w:type="dxa"/>
            <w:tcBorders>
              <w:top w:val="single" w:sz="12" w:space="0" w:color="auto"/>
              <w:left w:val="single" w:sz="8" w:space="0" w:color="auto"/>
              <w:bottom w:val="single" w:sz="4" w:space="0" w:color="auto"/>
              <w:right w:val="single" w:sz="4" w:space="0" w:color="auto"/>
            </w:tcBorders>
            <w:shd w:val="clear" w:color="auto" w:fill="FFFFFF" w:themeFill="background1"/>
            <w:vAlign w:val="bottom"/>
            <w:hideMark/>
          </w:tcPr>
          <w:p w14:paraId="130E9444" w14:textId="77777777" w:rsidR="002029CF" w:rsidRPr="000778F4" w:rsidRDefault="002029CF" w:rsidP="002029CF">
            <w:pPr>
              <w:rPr>
                <w:color w:val="000000"/>
                <w:sz w:val="22"/>
              </w:rPr>
            </w:pPr>
            <w:r w:rsidRPr="000778F4">
              <w:rPr>
                <w:color w:val="000000"/>
                <w:sz w:val="22"/>
              </w:rPr>
              <w:t>Local Transportation</w:t>
            </w:r>
          </w:p>
        </w:tc>
        <w:tc>
          <w:tcPr>
            <w:tcW w:w="1718" w:type="dxa"/>
            <w:tcBorders>
              <w:top w:val="single" w:sz="12" w:space="0" w:color="auto"/>
              <w:left w:val="nil"/>
              <w:bottom w:val="single" w:sz="4" w:space="0" w:color="auto"/>
              <w:right w:val="single" w:sz="4" w:space="0" w:color="auto"/>
            </w:tcBorders>
            <w:shd w:val="clear" w:color="auto" w:fill="FFFFFF" w:themeFill="background1"/>
            <w:vAlign w:val="bottom"/>
          </w:tcPr>
          <w:p w14:paraId="315AC327" w14:textId="77777777" w:rsidR="002029CF" w:rsidRPr="000778F4" w:rsidRDefault="002029CF" w:rsidP="002029CF">
            <w:pPr>
              <w:jc w:val="right"/>
              <w:rPr>
                <w:color w:val="000000"/>
                <w:sz w:val="22"/>
              </w:rPr>
            </w:pPr>
            <w:r>
              <w:rPr>
                <w:rFonts w:cs="Calibri"/>
                <w:color w:val="000000"/>
                <w:sz w:val="22"/>
              </w:rPr>
              <w:t xml:space="preserve">$12.38 </w:t>
            </w:r>
          </w:p>
        </w:tc>
        <w:tc>
          <w:tcPr>
            <w:tcW w:w="1980" w:type="dxa"/>
            <w:tcBorders>
              <w:top w:val="single" w:sz="12" w:space="0" w:color="auto"/>
              <w:left w:val="nil"/>
              <w:bottom w:val="single" w:sz="4" w:space="0" w:color="auto"/>
              <w:right w:val="single" w:sz="8" w:space="0" w:color="auto"/>
            </w:tcBorders>
            <w:shd w:val="clear" w:color="auto" w:fill="FFFFFF" w:themeFill="background1"/>
            <w:vAlign w:val="center"/>
          </w:tcPr>
          <w:p w14:paraId="01FD8FD4" w14:textId="77777777" w:rsidR="002029CF" w:rsidRDefault="002029CF" w:rsidP="002029CF">
            <w:pPr>
              <w:jc w:val="right"/>
              <w:rPr>
                <w:rFonts w:cs="Tahoma"/>
                <w:color w:val="000000"/>
                <w:sz w:val="22"/>
                <w:szCs w:val="22"/>
              </w:rPr>
            </w:pPr>
            <w:r>
              <w:rPr>
                <w:rFonts w:cs="Calibri"/>
                <w:color w:val="000000"/>
                <w:sz w:val="22"/>
              </w:rPr>
              <w:t xml:space="preserve">$1,176,100 </w:t>
            </w:r>
          </w:p>
        </w:tc>
      </w:tr>
      <w:tr w:rsidR="002029CF" w:rsidRPr="003D41E5" w14:paraId="701E72AA" w14:textId="77777777" w:rsidTr="00BC0D8D">
        <w:trPr>
          <w:trHeight w:val="291"/>
        </w:trPr>
        <w:tc>
          <w:tcPr>
            <w:tcW w:w="3312" w:type="dxa"/>
            <w:tcBorders>
              <w:top w:val="nil"/>
              <w:left w:val="single" w:sz="8" w:space="0" w:color="auto"/>
              <w:bottom w:val="single" w:sz="4" w:space="0" w:color="auto"/>
              <w:right w:val="single" w:sz="4" w:space="0" w:color="auto"/>
            </w:tcBorders>
            <w:shd w:val="clear" w:color="auto" w:fill="FFFFFF" w:themeFill="background1"/>
            <w:vAlign w:val="bottom"/>
            <w:hideMark/>
          </w:tcPr>
          <w:p w14:paraId="09913D80" w14:textId="77777777" w:rsidR="002029CF" w:rsidRPr="000778F4" w:rsidRDefault="002029CF" w:rsidP="002029CF">
            <w:pPr>
              <w:rPr>
                <w:color w:val="000000"/>
                <w:sz w:val="22"/>
              </w:rPr>
            </w:pPr>
            <w:r w:rsidRPr="000778F4">
              <w:rPr>
                <w:color w:val="000000"/>
                <w:sz w:val="22"/>
              </w:rPr>
              <w:t>Food &amp; Beverage</w:t>
            </w:r>
          </w:p>
        </w:tc>
        <w:tc>
          <w:tcPr>
            <w:tcW w:w="1718" w:type="dxa"/>
            <w:tcBorders>
              <w:top w:val="nil"/>
              <w:left w:val="nil"/>
              <w:bottom w:val="single" w:sz="4" w:space="0" w:color="auto"/>
              <w:right w:val="single" w:sz="4" w:space="0" w:color="auto"/>
            </w:tcBorders>
            <w:shd w:val="clear" w:color="auto" w:fill="FFFFFF" w:themeFill="background1"/>
            <w:vAlign w:val="bottom"/>
          </w:tcPr>
          <w:p w14:paraId="23F1122C" w14:textId="77777777" w:rsidR="002029CF" w:rsidRPr="000778F4" w:rsidRDefault="002029CF" w:rsidP="002029CF">
            <w:pPr>
              <w:jc w:val="right"/>
              <w:rPr>
                <w:color w:val="000000"/>
                <w:sz w:val="22"/>
              </w:rPr>
            </w:pPr>
            <w:r>
              <w:rPr>
                <w:rFonts w:cs="Calibri"/>
                <w:color w:val="000000"/>
                <w:sz w:val="22"/>
              </w:rPr>
              <w:t xml:space="preserve">$41.78 </w:t>
            </w:r>
          </w:p>
        </w:tc>
        <w:tc>
          <w:tcPr>
            <w:tcW w:w="1980" w:type="dxa"/>
            <w:tcBorders>
              <w:top w:val="nil"/>
              <w:left w:val="nil"/>
              <w:bottom w:val="single" w:sz="4" w:space="0" w:color="auto"/>
              <w:right w:val="single" w:sz="8" w:space="0" w:color="auto"/>
            </w:tcBorders>
            <w:shd w:val="clear" w:color="auto" w:fill="FFFFFF" w:themeFill="background1"/>
            <w:vAlign w:val="center"/>
          </w:tcPr>
          <w:p w14:paraId="7252DE13" w14:textId="77777777" w:rsidR="002029CF" w:rsidRDefault="002029CF" w:rsidP="002029CF">
            <w:pPr>
              <w:jc w:val="right"/>
              <w:rPr>
                <w:rFonts w:cs="Tahoma"/>
                <w:color w:val="000000"/>
                <w:sz w:val="22"/>
                <w:szCs w:val="22"/>
              </w:rPr>
            </w:pPr>
            <w:r>
              <w:rPr>
                <w:rFonts w:cs="Calibri"/>
                <w:color w:val="000000"/>
                <w:sz w:val="22"/>
              </w:rPr>
              <w:t xml:space="preserve">$3,969,100 </w:t>
            </w:r>
          </w:p>
        </w:tc>
      </w:tr>
      <w:tr w:rsidR="002029CF" w:rsidRPr="003D41E5" w14:paraId="0C850396" w14:textId="77777777" w:rsidTr="00BC0D8D">
        <w:trPr>
          <w:trHeight w:val="291"/>
        </w:trPr>
        <w:tc>
          <w:tcPr>
            <w:tcW w:w="3312" w:type="dxa"/>
            <w:tcBorders>
              <w:top w:val="nil"/>
              <w:left w:val="single" w:sz="8" w:space="0" w:color="auto"/>
              <w:bottom w:val="single" w:sz="4" w:space="0" w:color="auto"/>
              <w:right w:val="single" w:sz="4" w:space="0" w:color="auto"/>
            </w:tcBorders>
            <w:shd w:val="clear" w:color="auto" w:fill="FFFFFF" w:themeFill="background1"/>
            <w:vAlign w:val="bottom"/>
            <w:hideMark/>
          </w:tcPr>
          <w:p w14:paraId="5B21D606" w14:textId="77777777" w:rsidR="002029CF" w:rsidRPr="000778F4" w:rsidRDefault="002029CF" w:rsidP="002029CF">
            <w:pPr>
              <w:rPr>
                <w:color w:val="000000"/>
                <w:sz w:val="22"/>
              </w:rPr>
            </w:pPr>
            <w:r w:rsidRPr="000778F4">
              <w:rPr>
                <w:color w:val="000000"/>
                <w:sz w:val="22"/>
              </w:rPr>
              <w:t>Shopping</w:t>
            </w:r>
          </w:p>
        </w:tc>
        <w:tc>
          <w:tcPr>
            <w:tcW w:w="1718" w:type="dxa"/>
            <w:tcBorders>
              <w:top w:val="nil"/>
              <w:left w:val="nil"/>
              <w:bottom w:val="single" w:sz="4" w:space="0" w:color="auto"/>
              <w:right w:val="single" w:sz="4" w:space="0" w:color="auto"/>
            </w:tcBorders>
            <w:shd w:val="clear" w:color="auto" w:fill="FFFFFF" w:themeFill="background1"/>
            <w:vAlign w:val="bottom"/>
          </w:tcPr>
          <w:p w14:paraId="3C1C7E2B" w14:textId="77777777" w:rsidR="002029CF" w:rsidRPr="000778F4" w:rsidRDefault="002029CF" w:rsidP="002029CF">
            <w:pPr>
              <w:jc w:val="right"/>
              <w:rPr>
                <w:color w:val="000000"/>
                <w:sz w:val="22"/>
              </w:rPr>
            </w:pPr>
            <w:r>
              <w:rPr>
                <w:rFonts w:cs="Calibri"/>
                <w:color w:val="000000"/>
                <w:sz w:val="22"/>
              </w:rPr>
              <w:t xml:space="preserve">$20.89 </w:t>
            </w:r>
          </w:p>
        </w:tc>
        <w:tc>
          <w:tcPr>
            <w:tcW w:w="1980" w:type="dxa"/>
            <w:tcBorders>
              <w:top w:val="nil"/>
              <w:left w:val="nil"/>
              <w:bottom w:val="single" w:sz="4" w:space="0" w:color="auto"/>
              <w:right w:val="single" w:sz="8" w:space="0" w:color="auto"/>
            </w:tcBorders>
            <w:shd w:val="clear" w:color="auto" w:fill="FFFFFF" w:themeFill="background1"/>
            <w:vAlign w:val="center"/>
          </w:tcPr>
          <w:p w14:paraId="2C21173B" w14:textId="77777777" w:rsidR="002029CF" w:rsidRDefault="002029CF" w:rsidP="002029CF">
            <w:pPr>
              <w:jc w:val="right"/>
              <w:rPr>
                <w:rFonts w:cs="Tahoma"/>
                <w:color w:val="000000"/>
                <w:sz w:val="22"/>
                <w:szCs w:val="22"/>
              </w:rPr>
            </w:pPr>
            <w:r>
              <w:rPr>
                <w:rFonts w:cs="Calibri"/>
                <w:color w:val="000000"/>
                <w:sz w:val="22"/>
              </w:rPr>
              <w:t xml:space="preserve">$1,984,550 </w:t>
            </w:r>
          </w:p>
        </w:tc>
      </w:tr>
      <w:tr w:rsidR="002029CF" w:rsidRPr="003D41E5" w14:paraId="1BC1E70C" w14:textId="77777777" w:rsidTr="00BC0D8D">
        <w:trPr>
          <w:trHeight w:val="291"/>
        </w:trPr>
        <w:tc>
          <w:tcPr>
            <w:tcW w:w="3312" w:type="dxa"/>
            <w:tcBorders>
              <w:top w:val="nil"/>
              <w:left w:val="single" w:sz="8" w:space="0" w:color="auto"/>
              <w:bottom w:val="single" w:sz="4" w:space="0" w:color="auto"/>
              <w:right w:val="single" w:sz="4" w:space="0" w:color="auto"/>
            </w:tcBorders>
            <w:shd w:val="clear" w:color="auto" w:fill="FFFFFF" w:themeFill="background1"/>
            <w:vAlign w:val="bottom"/>
            <w:hideMark/>
          </w:tcPr>
          <w:p w14:paraId="65E73A1A" w14:textId="77777777" w:rsidR="002029CF" w:rsidRPr="000778F4" w:rsidRDefault="002029CF" w:rsidP="002029CF">
            <w:pPr>
              <w:rPr>
                <w:color w:val="000000"/>
                <w:sz w:val="22"/>
              </w:rPr>
            </w:pPr>
            <w:r w:rsidRPr="000778F4">
              <w:rPr>
                <w:color w:val="000000"/>
                <w:sz w:val="22"/>
              </w:rPr>
              <w:t>Gas Stations</w:t>
            </w:r>
          </w:p>
        </w:tc>
        <w:tc>
          <w:tcPr>
            <w:tcW w:w="1718" w:type="dxa"/>
            <w:tcBorders>
              <w:top w:val="nil"/>
              <w:left w:val="nil"/>
              <w:bottom w:val="single" w:sz="4" w:space="0" w:color="auto"/>
              <w:right w:val="single" w:sz="4" w:space="0" w:color="auto"/>
            </w:tcBorders>
            <w:shd w:val="clear" w:color="auto" w:fill="FFFFFF" w:themeFill="background1"/>
            <w:vAlign w:val="bottom"/>
          </w:tcPr>
          <w:p w14:paraId="72ACE284" w14:textId="77777777" w:rsidR="002029CF" w:rsidRPr="000778F4" w:rsidRDefault="002029CF" w:rsidP="002029CF">
            <w:pPr>
              <w:jc w:val="right"/>
              <w:rPr>
                <w:color w:val="000000"/>
                <w:sz w:val="22"/>
              </w:rPr>
            </w:pPr>
            <w:r>
              <w:rPr>
                <w:rFonts w:cs="Calibri"/>
                <w:color w:val="000000"/>
                <w:sz w:val="22"/>
              </w:rPr>
              <w:t xml:space="preserve">$4.12 </w:t>
            </w:r>
          </w:p>
        </w:tc>
        <w:tc>
          <w:tcPr>
            <w:tcW w:w="1980" w:type="dxa"/>
            <w:tcBorders>
              <w:top w:val="nil"/>
              <w:left w:val="nil"/>
              <w:bottom w:val="single" w:sz="4" w:space="0" w:color="auto"/>
              <w:right w:val="single" w:sz="8" w:space="0" w:color="auto"/>
            </w:tcBorders>
            <w:shd w:val="clear" w:color="auto" w:fill="FFFFFF" w:themeFill="background1"/>
            <w:vAlign w:val="center"/>
          </w:tcPr>
          <w:p w14:paraId="6D7AD172" w14:textId="77777777" w:rsidR="002029CF" w:rsidRDefault="002029CF" w:rsidP="002029CF">
            <w:pPr>
              <w:jc w:val="right"/>
              <w:rPr>
                <w:rFonts w:cs="Tahoma"/>
                <w:color w:val="000000"/>
                <w:sz w:val="22"/>
                <w:szCs w:val="22"/>
              </w:rPr>
            </w:pPr>
            <w:r>
              <w:rPr>
                <w:rFonts w:cs="Calibri"/>
                <w:color w:val="000000"/>
                <w:sz w:val="22"/>
              </w:rPr>
              <w:t xml:space="preserve">$391,400 </w:t>
            </w:r>
          </w:p>
        </w:tc>
      </w:tr>
      <w:tr w:rsidR="002029CF" w:rsidRPr="003D41E5" w14:paraId="47A27BD8" w14:textId="77777777" w:rsidTr="00BC0D8D">
        <w:trPr>
          <w:trHeight w:val="291"/>
        </w:trPr>
        <w:tc>
          <w:tcPr>
            <w:tcW w:w="3312" w:type="dxa"/>
            <w:tcBorders>
              <w:top w:val="nil"/>
              <w:left w:val="single" w:sz="8" w:space="0" w:color="auto"/>
              <w:bottom w:val="single" w:sz="4" w:space="0" w:color="auto"/>
              <w:right w:val="single" w:sz="4" w:space="0" w:color="auto"/>
            </w:tcBorders>
            <w:shd w:val="clear" w:color="auto" w:fill="FFFFFF" w:themeFill="background1"/>
            <w:vAlign w:val="bottom"/>
            <w:hideMark/>
          </w:tcPr>
          <w:p w14:paraId="78C968BC" w14:textId="77777777" w:rsidR="002029CF" w:rsidRPr="000778F4" w:rsidRDefault="002029CF" w:rsidP="002029CF">
            <w:pPr>
              <w:rPr>
                <w:color w:val="000000"/>
                <w:sz w:val="22"/>
              </w:rPr>
            </w:pPr>
            <w:r w:rsidRPr="000778F4">
              <w:rPr>
                <w:color w:val="000000"/>
                <w:sz w:val="22"/>
              </w:rPr>
              <w:t>Recreation</w:t>
            </w:r>
          </w:p>
        </w:tc>
        <w:tc>
          <w:tcPr>
            <w:tcW w:w="1718" w:type="dxa"/>
            <w:tcBorders>
              <w:top w:val="nil"/>
              <w:left w:val="nil"/>
              <w:bottom w:val="single" w:sz="4" w:space="0" w:color="auto"/>
              <w:right w:val="single" w:sz="4" w:space="0" w:color="auto"/>
            </w:tcBorders>
            <w:shd w:val="clear" w:color="auto" w:fill="FFFFFF" w:themeFill="background1"/>
            <w:vAlign w:val="bottom"/>
          </w:tcPr>
          <w:p w14:paraId="61C3E909" w14:textId="77777777" w:rsidR="002029CF" w:rsidRPr="000778F4" w:rsidRDefault="002029CF" w:rsidP="002029CF">
            <w:pPr>
              <w:jc w:val="right"/>
              <w:rPr>
                <w:color w:val="000000"/>
                <w:sz w:val="22"/>
              </w:rPr>
            </w:pPr>
            <w:r>
              <w:rPr>
                <w:rFonts w:cs="Calibri"/>
                <w:color w:val="000000"/>
                <w:sz w:val="22"/>
              </w:rPr>
              <w:t xml:space="preserve">$38.32 </w:t>
            </w:r>
          </w:p>
        </w:tc>
        <w:tc>
          <w:tcPr>
            <w:tcW w:w="1980" w:type="dxa"/>
            <w:tcBorders>
              <w:top w:val="nil"/>
              <w:left w:val="nil"/>
              <w:bottom w:val="single" w:sz="4" w:space="0" w:color="auto"/>
              <w:right w:val="single" w:sz="8" w:space="0" w:color="auto"/>
            </w:tcBorders>
            <w:shd w:val="clear" w:color="auto" w:fill="FFFFFF" w:themeFill="background1"/>
            <w:vAlign w:val="center"/>
          </w:tcPr>
          <w:p w14:paraId="33CFD81C" w14:textId="77777777" w:rsidR="002029CF" w:rsidRDefault="002029CF" w:rsidP="002029CF">
            <w:pPr>
              <w:jc w:val="right"/>
              <w:rPr>
                <w:rFonts w:cs="Tahoma"/>
                <w:color w:val="000000"/>
                <w:sz w:val="22"/>
                <w:szCs w:val="22"/>
              </w:rPr>
            </w:pPr>
            <w:r>
              <w:rPr>
                <w:rFonts w:cs="Calibri"/>
                <w:color w:val="000000"/>
                <w:sz w:val="22"/>
              </w:rPr>
              <w:t xml:space="preserve">$3,640,400 </w:t>
            </w:r>
          </w:p>
        </w:tc>
      </w:tr>
      <w:tr w:rsidR="002029CF" w:rsidRPr="003D41E5" w14:paraId="768396EC" w14:textId="77777777" w:rsidTr="00BC0D8D">
        <w:trPr>
          <w:trHeight w:val="305"/>
        </w:trPr>
        <w:tc>
          <w:tcPr>
            <w:tcW w:w="3312" w:type="dxa"/>
            <w:tcBorders>
              <w:top w:val="nil"/>
              <w:left w:val="single" w:sz="8" w:space="0" w:color="auto"/>
              <w:bottom w:val="single" w:sz="8" w:space="0" w:color="auto"/>
              <w:right w:val="single" w:sz="4" w:space="0" w:color="auto"/>
            </w:tcBorders>
            <w:shd w:val="clear" w:color="auto" w:fill="FFFFFF" w:themeFill="background1"/>
            <w:vAlign w:val="bottom"/>
            <w:hideMark/>
          </w:tcPr>
          <w:p w14:paraId="3F75E6DC" w14:textId="77777777" w:rsidR="002029CF" w:rsidRPr="000778F4" w:rsidRDefault="002029CF" w:rsidP="002029CF">
            <w:pPr>
              <w:rPr>
                <w:b/>
                <w:bCs/>
                <w:color w:val="000000"/>
                <w:sz w:val="22"/>
              </w:rPr>
            </w:pPr>
            <w:r w:rsidRPr="000778F4">
              <w:rPr>
                <w:b/>
                <w:bCs/>
                <w:color w:val="000000"/>
                <w:sz w:val="22"/>
              </w:rPr>
              <w:t>Total</w:t>
            </w:r>
          </w:p>
        </w:tc>
        <w:tc>
          <w:tcPr>
            <w:tcW w:w="1718" w:type="dxa"/>
            <w:tcBorders>
              <w:top w:val="nil"/>
              <w:left w:val="nil"/>
              <w:bottom w:val="single" w:sz="8" w:space="0" w:color="auto"/>
              <w:right w:val="single" w:sz="4" w:space="0" w:color="auto"/>
            </w:tcBorders>
            <w:shd w:val="clear" w:color="auto" w:fill="FFFFFF" w:themeFill="background1"/>
            <w:vAlign w:val="bottom"/>
          </w:tcPr>
          <w:p w14:paraId="29265426" w14:textId="77777777" w:rsidR="002029CF" w:rsidRPr="00705747" w:rsidRDefault="002029CF" w:rsidP="002029CF">
            <w:pPr>
              <w:jc w:val="right"/>
              <w:rPr>
                <w:b/>
                <w:bCs/>
                <w:color w:val="000000"/>
                <w:sz w:val="22"/>
              </w:rPr>
            </w:pPr>
            <w:r w:rsidRPr="00705747">
              <w:rPr>
                <w:rFonts w:cs="Calibri"/>
                <w:b/>
                <w:color w:val="000000"/>
                <w:sz w:val="22"/>
              </w:rPr>
              <w:t xml:space="preserve">$117.49 </w:t>
            </w:r>
          </w:p>
        </w:tc>
        <w:tc>
          <w:tcPr>
            <w:tcW w:w="1980" w:type="dxa"/>
            <w:tcBorders>
              <w:top w:val="nil"/>
              <w:left w:val="nil"/>
              <w:bottom w:val="single" w:sz="8" w:space="0" w:color="auto"/>
              <w:right w:val="single" w:sz="8" w:space="0" w:color="auto"/>
            </w:tcBorders>
            <w:shd w:val="clear" w:color="auto" w:fill="FFFFFF" w:themeFill="background1"/>
            <w:vAlign w:val="center"/>
          </w:tcPr>
          <w:p w14:paraId="3E77018F" w14:textId="77777777" w:rsidR="002029CF" w:rsidRPr="00BC0D8D" w:rsidRDefault="002029CF" w:rsidP="002029CF">
            <w:pPr>
              <w:jc w:val="right"/>
              <w:rPr>
                <w:rFonts w:cs="Tahoma"/>
                <w:b/>
                <w:color w:val="000000"/>
                <w:sz w:val="22"/>
                <w:szCs w:val="22"/>
              </w:rPr>
            </w:pPr>
            <w:r w:rsidRPr="00BC0D8D">
              <w:rPr>
                <w:rFonts w:cs="Calibri"/>
                <w:b/>
                <w:color w:val="000000"/>
                <w:sz w:val="22"/>
              </w:rPr>
              <w:t xml:space="preserve">$11,161,550 </w:t>
            </w:r>
          </w:p>
        </w:tc>
      </w:tr>
    </w:tbl>
    <w:p w14:paraId="4E72A1C2" w14:textId="1727DE62" w:rsidR="00C412EF" w:rsidRDefault="002029CF" w:rsidP="0028290E">
      <w:pPr>
        <w:rPr>
          <w:sz w:val="20"/>
        </w:rPr>
      </w:pPr>
      <w:r w:rsidRPr="00705747">
        <w:rPr>
          <w:sz w:val="20"/>
        </w:rPr>
        <w:t>Source: IMPACTS Research &amp; Development; Tourism Economics, Sage</w:t>
      </w:r>
    </w:p>
    <w:p w14:paraId="1EB46246" w14:textId="77777777" w:rsidR="0028290E" w:rsidRPr="0028290E" w:rsidRDefault="0028290E" w:rsidP="0028290E">
      <w:pPr>
        <w:rPr>
          <w:sz w:val="20"/>
        </w:rPr>
      </w:pPr>
    </w:p>
    <w:p w14:paraId="092AE642" w14:textId="77777777" w:rsidR="00BC0D8D" w:rsidRDefault="00BC0D8D" w:rsidP="00BC0D8D">
      <w:pPr>
        <w:pStyle w:val="Heading2"/>
      </w:pPr>
      <w:r>
        <w:t>Operational Impacts</w:t>
      </w:r>
    </w:p>
    <w:p w14:paraId="4DD028C0" w14:textId="77777777" w:rsidR="00BC0D8D" w:rsidRDefault="00BC0D8D" w:rsidP="00BC0D8D"/>
    <w:p w14:paraId="438ECC24" w14:textId="049C083D" w:rsidR="00115FA3" w:rsidRDefault="0028290E" w:rsidP="00115FA3">
      <w:pPr>
        <w:spacing w:after="200" w:line="300" w:lineRule="auto"/>
      </w:pPr>
      <w:r>
        <w:t>As noted previously, Sail Baltimore’s operating budget is relatively small.  Still, for purposes of this assessment and in the interests of thoroughness, impacts related to local budgetary spending are included.  It is important to note that the $250,000 annual budget referenced above pertains to a non-event year.  During event years, operational spending is significant higher.  For instance, in 2012, Sail Baltimore’s annual budget was $436,400.  In 2016, it was $606,000.  Much of the additional spending was on local contractors.</w:t>
      </w:r>
      <w:r w:rsidR="002A2719">
        <w:t xml:space="preserve">  </w:t>
      </w:r>
      <w:r>
        <w:t xml:space="preserve">For modeling purposes, the study team used the average organizational budget for the last six years, which translates </w:t>
      </w:r>
      <w:r w:rsidR="002D1CC7">
        <w:t>to</w:t>
      </w:r>
      <w:r>
        <w:t xml:space="preserve"> </w:t>
      </w:r>
      <w:r w:rsidR="00115FA3">
        <w:t>$386,57</w:t>
      </w:r>
      <w:r>
        <w:t>1</w:t>
      </w:r>
      <w:r w:rsidR="00115FA3">
        <w:t xml:space="preserve">. </w:t>
      </w:r>
    </w:p>
    <w:p w14:paraId="583A5FC9" w14:textId="65FC4CD0" w:rsidR="000B514A" w:rsidRPr="000B514A" w:rsidRDefault="00115FA3" w:rsidP="000B514A">
      <w:pPr>
        <w:pStyle w:val="Heading1"/>
        <w:spacing w:after="240"/>
        <w:rPr>
          <w:sz w:val="28"/>
        </w:rPr>
      </w:pPr>
      <w:r w:rsidRPr="00115FA3">
        <w:rPr>
          <w:sz w:val="28"/>
        </w:rPr>
        <w:t>Economic</w:t>
      </w:r>
      <w:r w:rsidR="000B514A">
        <w:rPr>
          <w:sz w:val="28"/>
        </w:rPr>
        <w:t xml:space="preserve"> &amp; Fiscal</w:t>
      </w:r>
      <w:r w:rsidRPr="00115FA3">
        <w:rPr>
          <w:sz w:val="28"/>
        </w:rPr>
        <w:t xml:space="preserve"> Impacts</w:t>
      </w:r>
    </w:p>
    <w:p w14:paraId="527992A3" w14:textId="7A87E971" w:rsidR="000B514A" w:rsidRDefault="002D1CC7" w:rsidP="002111C2">
      <w:pPr>
        <w:spacing w:after="200" w:line="300" w:lineRule="auto"/>
      </w:pPr>
      <w:r>
        <w:t>Excluding event</w:t>
      </w:r>
      <w:r w:rsidR="002A2719">
        <w:t xml:space="preserve">-related impacts, Sail Baltimore supports more than </w:t>
      </w:r>
      <w:r w:rsidR="000B514A">
        <w:t xml:space="preserve">170 annual FTEs in Baltimore City. </w:t>
      </w:r>
      <w:r w:rsidR="002A2719">
        <w:t xml:space="preserve"> This is equivalent to a sizeable company.  </w:t>
      </w:r>
      <w:r w:rsidR="000B514A">
        <w:t xml:space="preserve">Those employees are associated with employee compensation (which includes the value of benefits) </w:t>
      </w:r>
      <w:r w:rsidR="00293F28">
        <w:t>approaching</w:t>
      </w:r>
      <w:r w:rsidR="002A2719">
        <w:t xml:space="preserve"> $6.6</w:t>
      </w:r>
      <w:r w:rsidR="000B514A">
        <w:t xml:space="preserve"> million. Local business sales are augmented by nearly $15 million. </w:t>
      </w:r>
      <w:r w:rsidR="002A2719">
        <w:t xml:space="preserve"> </w:t>
      </w:r>
      <w:r w:rsidR="000B514A">
        <w:t xml:space="preserve">Exhibit 2 </w:t>
      </w:r>
      <w:r w:rsidR="002A2719">
        <w:t>supplies summary detail.</w:t>
      </w:r>
      <w:r w:rsidR="000B514A">
        <w:t xml:space="preserve"> </w:t>
      </w:r>
    </w:p>
    <w:p w14:paraId="1CFB5148" w14:textId="77777777" w:rsidR="000B514A" w:rsidRDefault="000B514A" w:rsidP="000B514A">
      <w:pPr>
        <w:pStyle w:val="Exhibit"/>
      </w:pPr>
      <w:r>
        <w:t xml:space="preserve">Exhibit 2: </w:t>
      </w:r>
      <w:r w:rsidR="00A02CB6">
        <w:t xml:space="preserve">Ongoing Annual </w:t>
      </w:r>
      <w:r>
        <w:t>Economic Impacts</w:t>
      </w:r>
    </w:p>
    <w:tbl>
      <w:tblPr>
        <w:tblW w:w="9191" w:type="dxa"/>
        <w:tblInd w:w="-10" w:type="dxa"/>
        <w:tblLook w:val="04A0" w:firstRow="1" w:lastRow="0" w:firstColumn="1" w:lastColumn="0" w:noHBand="0" w:noVBand="1"/>
      </w:tblPr>
      <w:tblGrid>
        <w:gridCol w:w="2356"/>
        <w:gridCol w:w="2278"/>
        <w:gridCol w:w="2278"/>
        <w:gridCol w:w="2279"/>
      </w:tblGrid>
      <w:tr w:rsidR="000B514A" w14:paraId="67BD9326" w14:textId="77777777" w:rsidTr="00572B8C">
        <w:trPr>
          <w:trHeight w:val="711"/>
        </w:trPr>
        <w:tc>
          <w:tcPr>
            <w:tcW w:w="2356" w:type="dxa"/>
            <w:tcBorders>
              <w:top w:val="single" w:sz="8" w:space="0" w:color="auto"/>
              <w:left w:val="single" w:sz="8" w:space="0" w:color="auto"/>
              <w:bottom w:val="single" w:sz="8" w:space="0" w:color="000000"/>
              <w:right w:val="single" w:sz="8" w:space="0" w:color="auto"/>
            </w:tcBorders>
            <w:shd w:val="clear" w:color="auto" w:fill="1F4E79" w:themeFill="accent1" w:themeFillShade="80"/>
            <w:vAlign w:val="center"/>
            <w:hideMark/>
          </w:tcPr>
          <w:p w14:paraId="7069F75E" w14:textId="77777777" w:rsidR="000B514A" w:rsidRPr="00BB3BF6" w:rsidRDefault="000B514A" w:rsidP="00572B8C">
            <w:pPr>
              <w:contextualSpacing/>
              <w:jc w:val="center"/>
              <w:rPr>
                <w:b/>
                <w:bCs/>
                <w:color w:val="FFFFFF"/>
              </w:rPr>
            </w:pPr>
          </w:p>
        </w:tc>
        <w:tc>
          <w:tcPr>
            <w:tcW w:w="2278" w:type="dxa"/>
            <w:tcBorders>
              <w:top w:val="single" w:sz="8" w:space="0" w:color="auto"/>
              <w:left w:val="nil"/>
              <w:right w:val="single" w:sz="8" w:space="0" w:color="auto"/>
            </w:tcBorders>
            <w:shd w:val="clear" w:color="auto" w:fill="1F4E79" w:themeFill="accent1" w:themeFillShade="80"/>
            <w:vAlign w:val="center"/>
            <w:hideMark/>
          </w:tcPr>
          <w:p w14:paraId="2C43C48A" w14:textId="77777777" w:rsidR="000B514A" w:rsidRPr="00BB3BF6" w:rsidRDefault="000B514A" w:rsidP="00572B8C">
            <w:pPr>
              <w:contextualSpacing/>
              <w:jc w:val="center"/>
              <w:rPr>
                <w:b/>
                <w:bCs/>
                <w:color w:val="FFFFFF"/>
              </w:rPr>
            </w:pPr>
            <w:r w:rsidRPr="00BB3BF6">
              <w:rPr>
                <w:b/>
                <w:bCs/>
                <w:color w:val="FFFFFF"/>
              </w:rPr>
              <w:t>Jobs</w:t>
            </w:r>
          </w:p>
          <w:p w14:paraId="3ED7B17B" w14:textId="77777777" w:rsidR="000B514A" w:rsidRPr="00BB3BF6" w:rsidRDefault="000B514A" w:rsidP="00572B8C">
            <w:pPr>
              <w:contextualSpacing/>
              <w:jc w:val="center"/>
              <w:rPr>
                <w:b/>
                <w:bCs/>
                <w:color w:val="FFFFFF"/>
              </w:rPr>
            </w:pPr>
            <w:r w:rsidRPr="00BB3BF6">
              <w:rPr>
                <w:b/>
                <w:bCs/>
                <w:color w:val="FFFFFF"/>
              </w:rPr>
              <w:t>(FTEs)</w:t>
            </w:r>
          </w:p>
        </w:tc>
        <w:tc>
          <w:tcPr>
            <w:tcW w:w="2278" w:type="dxa"/>
            <w:tcBorders>
              <w:top w:val="single" w:sz="8" w:space="0" w:color="auto"/>
              <w:left w:val="nil"/>
              <w:right w:val="single" w:sz="8" w:space="0" w:color="auto"/>
            </w:tcBorders>
            <w:shd w:val="clear" w:color="auto" w:fill="1F4E79" w:themeFill="accent1" w:themeFillShade="80"/>
            <w:vAlign w:val="center"/>
            <w:hideMark/>
          </w:tcPr>
          <w:p w14:paraId="73C0A33B" w14:textId="77777777" w:rsidR="000B514A" w:rsidRPr="00BB3BF6" w:rsidRDefault="000B514A" w:rsidP="00572B8C">
            <w:pPr>
              <w:contextualSpacing/>
              <w:jc w:val="center"/>
              <w:rPr>
                <w:b/>
                <w:bCs/>
                <w:color w:val="FFFFFF"/>
              </w:rPr>
            </w:pPr>
            <w:r>
              <w:rPr>
                <w:b/>
                <w:bCs/>
                <w:color w:val="FFFFFF"/>
              </w:rPr>
              <w:t>Employee Compensation</w:t>
            </w:r>
          </w:p>
        </w:tc>
        <w:tc>
          <w:tcPr>
            <w:tcW w:w="2279" w:type="dxa"/>
            <w:tcBorders>
              <w:top w:val="single" w:sz="8" w:space="0" w:color="auto"/>
              <w:left w:val="nil"/>
              <w:right w:val="single" w:sz="8" w:space="0" w:color="auto"/>
            </w:tcBorders>
            <w:shd w:val="clear" w:color="auto" w:fill="1F4E79" w:themeFill="accent1" w:themeFillShade="80"/>
            <w:vAlign w:val="center"/>
            <w:hideMark/>
          </w:tcPr>
          <w:p w14:paraId="40430FAF" w14:textId="77777777" w:rsidR="000B514A" w:rsidRPr="00BB3BF6" w:rsidRDefault="000B514A" w:rsidP="00572B8C">
            <w:pPr>
              <w:contextualSpacing/>
              <w:jc w:val="center"/>
              <w:rPr>
                <w:b/>
                <w:bCs/>
                <w:color w:val="FFFFFF"/>
              </w:rPr>
            </w:pPr>
            <w:r w:rsidRPr="00BB3BF6">
              <w:rPr>
                <w:b/>
                <w:bCs/>
                <w:color w:val="FFFFFF"/>
              </w:rPr>
              <w:t>Business sales</w:t>
            </w:r>
          </w:p>
        </w:tc>
      </w:tr>
      <w:tr w:rsidR="000B514A" w14:paraId="4BB7A983" w14:textId="77777777" w:rsidTr="00572B8C">
        <w:trPr>
          <w:trHeight w:val="330"/>
        </w:trPr>
        <w:tc>
          <w:tcPr>
            <w:tcW w:w="919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EC30C31" w14:textId="77777777" w:rsidR="000B514A" w:rsidRPr="00BB3BF6" w:rsidRDefault="000B514A" w:rsidP="00572B8C">
            <w:pPr>
              <w:rPr>
                <w:b/>
                <w:i/>
                <w:iCs/>
                <w:color w:val="000000"/>
              </w:rPr>
            </w:pPr>
            <w:r>
              <w:rPr>
                <w:b/>
                <w:i/>
                <w:iCs/>
                <w:color w:val="000000"/>
              </w:rPr>
              <w:t>Baltimore City</w:t>
            </w:r>
          </w:p>
        </w:tc>
      </w:tr>
      <w:tr w:rsidR="000B514A" w14:paraId="67037644" w14:textId="77777777" w:rsidTr="00572B8C">
        <w:trPr>
          <w:trHeight w:val="288"/>
        </w:trPr>
        <w:tc>
          <w:tcPr>
            <w:tcW w:w="2356" w:type="dxa"/>
            <w:tcBorders>
              <w:top w:val="nil"/>
              <w:left w:val="single" w:sz="8" w:space="0" w:color="auto"/>
              <w:bottom w:val="single" w:sz="8" w:space="0" w:color="auto"/>
              <w:right w:val="single" w:sz="8" w:space="0" w:color="auto"/>
            </w:tcBorders>
            <w:shd w:val="clear" w:color="auto" w:fill="auto"/>
            <w:vAlign w:val="center"/>
            <w:hideMark/>
          </w:tcPr>
          <w:p w14:paraId="5FEEEE37" w14:textId="77777777" w:rsidR="000B514A" w:rsidRPr="00D03CB5" w:rsidRDefault="000B514A" w:rsidP="000B514A">
            <w:pPr>
              <w:pStyle w:val="NoSpacing"/>
            </w:pPr>
            <w:r w:rsidRPr="00D03CB5">
              <w:t xml:space="preserve"> Direct effects</w:t>
            </w:r>
          </w:p>
        </w:tc>
        <w:tc>
          <w:tcPr>
            <w:tcW w:w="2278" w:type="dxa"/>
            <w:tcBorders>
              <w:top w:val="nil"/>
              <w:left w:val="nil"/>
              <w:bottom w:val="single" w:sz="8" w:space="0" w:color="auto"/>
              <w:right w:val="single" w:sz="8" w:space="0" w:color="auto"/>
            </w:tcBorders>
            <w:shd w:val="clear" w:color="auto" w:fill="auto"/>
            <w:vAlign w:val="bottom"/>
            <w:hideMark/>
          </w:tcPr>
          <w:p w14:paraId="6C3595D6" w14:textId="77777777" w:rsidR="000B514A" w:rsidRDefault="000B514A" w:rsidP="000B514A">
            <w:pPr>
              <w:jc w:val="right"/>
              <w:rPr>
                <w:rFonts w:cs="Tahoma"/>
                <w:color w:val="000000"/>
              </w:rPr>
            </w:pPr>
            <w:r>
              <w:rPr>
                <w:rFonts w:cs="Tahoma"/>
                <w:color w:val="000000"/>
              </w:rPr>
              <w:t>143</w:t>
            </w:r>
          </w:p>
        </w:tc>
        <w:tc>
          <w:tcPr>
            <w:tcW w:w="2278" w:type="dxa"/>
            <w:tcBorders>
              <w:top w:val="nil"/>
              <w:left w:val="nil"/>
              <w:bottom w:val="single" w:sz="8" w:space="0" w:color="auto"/>
              <w:right w:val="single" w:sz="8" w:space="0" w:color="auto"/>
            </w:tcBorders>
            <w:shd w:val="clear" w:color="auto" w:fill="auto"/>
            <w:vAlign w:val="bottom"/>
            <w:hideMark/>
          </w:tcPr>
          <w:p w14:paraId="5EC2151F" w14:textId="77777777" w:rsidR="000B514A" w:rsidRDefault="000B514A" w:rsidP="000B514A">
            <w:pPr>
              <w:jc w:val="right"/>
              <w:rPr>
                <w:rFonts w:cs="Tahoma"/>
                <w:color w:val="000000"/>
              </w:rPr>
            </w:pPr>
            <w:r>
              <w:rPr>
                <w:rFonts w:cs="Tahoma"/>
                <w:color w:val="000000"/>
              </w:rPr>
              <w:t>$4,741,291</w:t>
            </w:r>
          </w:p>
        </w:tc>
        <w:tc>
          <w:tcPr>
            <w:tcW w:w="2279" w:type="dxa"/>
            <w:tcBorders>
              <w:top w:val="nil"/>
              <w:left w:val="nil"/>
              <w:bottom w:val="single" w:sz="8" w:space="0" w:color="auto"/>
              <w:right w:val="single" w:sz="8" w:space="0" w:color="auto"/>
            </w:tcBorders>
            <w:shd w:val="clear" w:color="auto" w:fill="auto"/>
            <w:vAlign w:val="bottom"/>
            <w:hideMark/>
          </w:tcPr>
          <w:p w14:paraId="56B13322" w14:textId="77777777" w:rsidR="000B514A" w:rsidRDefault="000B514A" w:rsidP="000B514A">
            <w:pPr>
              <w:jc w:val="right"/>
              <w:rPr>
                <w:rFonts w:cs="Tahoma"/>
                <w:color w:val="000000"/>
              </w:rPr>
            </w:pPr>
            <w:r>
              <w:rPr>
                <w:rFonts w:cs="Tahoma"/>
                <w:color w:val="000000"/>
              </w:rPr>
              <w:t>$9,629,024</w:t>
            </w:r>
          </w:p>
        </w:tc>
      </w:tr>
      <w:tr w:rsidR="000B514A" w14:paraId="114CF205" w14:textId="77777777" w:rsidTr="00572B8C">
        <w:trPr>
          <w:trHeight w:val="288"/>
        </w:trPr>
        <w:tc>
          <w:tcPr>
            <w:tcW w:w="2356" w:type="dxa"/>
            <w:tcBorders>
              <w:top w:val="nil"/>
              <w:left w:val="single" w:sz="8" w:space="0" w:color="auto"/>
              <w:bottom w:val="single" w:sz="8" w:space="0" w:color="auto"/>
              <w:right w:val="single" w:sz="8" w:space="0" w:color="auto"/>
            </w:tcBorders>
            <w:shd w:val="clear" w:color="auto" w:fill="auto"/>
            <w:vAlign w:val="center"/>
            <w:hideMark/>
          </w:tcPr>
          <w:p w14:paraId="0ADD0385" w14:textId="77777777" w:rsidR="000B514A" w:rsidRPr="00D03CB5" w:rsidRDefault="000B514A" w:rsidP="000B514A">
            <w:pPr>
              <w:pStyle w:val="NoSpacing"/>
            </w:pPr>
            <w:r w:rsidRPr="00D03CB5">
              <w:t xml:space="preserve"> Indirect effects</w:t>
            </w:r>
          </w:p>
        </w:tc>
        <w:tc>
          <w:tcPr>
            <w:tcW w:w="2278" w:type="dxa"/>
            <w:tcBorders>
              <w:top w:val="nil"/>
              <w:left w:val="nil"/>
              <w:bottom w:val="single" w:sz="8" w:space="0" w:color="auto"/>
              <w:right w:val="single" w:sz="8" w:space="0" w:color="auto"/>
            </w:tcBorders>
            <w:shd w:val="clear" w:color="auto" w:fill="auto"/>
            <w:vAlign w:val="bottom"/>
            <w:hideMark/>
          </w:tcPr>
          <w:p w14:paraId="5BDCBF9C" w14:textId="77777777" w:rsidR="000B514A" w:rsidRDefault="000B514A" w:rsidP="000B514A">
            <w:pPr>
              <w:jc w:val="right"/>
              <w:rPr>
                <w:rFonts w:cs="Tahoma"/>
                <w:color w:val="000000"/>
              </w:rPr>
            </w:pPr>
            <w:r>
              <w:rPr>
                <w:rFonts w:cs="Tahoma"/>
                <w:color w:val="000000"/>
              </w:rPr>
              <w:t>15</w:t>
            </w:r>
          </w:p>
        </w:tc>
        <w:tc>
          <w:tcPr>
            <w:tcW w:w="2278" w:type="dxa"/>
            <w:tcBorders>
              <w:top w:val="nil"/>
              <w:left w:val="nil"/>
              <w:bottom w:val="single" w:sz="8" w:space="0" w:color="auto"/>
              <w:right w:val="single" w:sz="8" w:space="0" w:color="auto"/>
            </w:tcBorders>
            <w:shd w:val="clear" w:color="auto" w:fill="auto"/>
            <w:vAlign w:val="bottom"/>
            <w:hideMark/>
          </w:tcPr>
          <w:p w14:paraId="3EAFA9A6" w14:textId="77777777" w:rsidR="000B514A" w:rsidRDefault="000B514A" w:rsidP="000B514A">
            <w:pPr>
              <w:jc w:val="right"/>
              <w:rPr>
                <w:rFonts w:cs="Tahoma"/>
                <w:color w:val="000000"/>
              </w:rPr>
            </w:pPr>
            <w:r>
              <w:rPr>
                <w:rFonts w:cs="Tahoma"/>
                <w:color w:val="000000"/>
              </w:rPr>
              <w:t>$1,039,924</w:t>
            </w:r>
          </w:p>
        </w:tc>
        <w:tc>
          <w:tcPr>
            <w:tcW w:w="2279" w:type="dxa"/>
            <w:tcBorders>
              <w:top w:val="nil"/>
              <w:left w:val="nil"/>
              <w:bottom w:val="single" w:sz="8" w:space="0" w:color="auto"/>
              <w:right w:val="single" w:sz="8" w:space="0" w:color="auto"/>
            </w:tcBorders>
            <w:shd w:val="clear" w:color="auto" w:fill="auto"/>
            <w:vAlign w:val="bottom"/>
            <w:hideMark/>
          </w:tcPr>
          <w:p w14:paraId="740C274F" w14:textId="77777777" w:rsidR="000B514A" w:rsidRDefault="000B514A" w:rsidP="000B514A">
            <w:pPr>
              <w:jc w:val="right"/>
              <w:rPr>
                <w:rFonts w:cs="Tahoma"/>
                <w:color w:val="000000"/>
              </w:rPr>
            </w:pPr>
            <w:r>
              <w:rPr>
                <w:rFonts w:cs="Tahoma"/>
                <w:color w:val="000000"/>
              </w:rPr>
              <w:t>$3,178,240</w:t>
            </w:r>
          </w:p>
        </w:tc>
      </w:tr>
      <w:tr w:rsidR="000B514A" w14:paraId="72FFCB10" w14:textId="77777777" w:rsidTr="00572B8C">
        <w:trPr>
          <w:trHeight w:val="288"/>
        </w:trPr>
        <w:tc>
          <w:tcPr>
            <w:tcW w:w="2356" w:type="dxa"/>
            <w:tcBorders>
              <w:top w:val="nil"/>
              <w:left w:val="single" w:sz="8" w:space="0" w:color="auto"/>
              <w:bottom w:val="single" w:sz="8" w:space="0" w:color="auto"/>
              <w:right w:val="single" w:sz="8" w:space="0" w:color="auto"/>
            </w:tcBorders>
            <w:shd w:val="clear" w:color="auto" w:fill="auto"/>
            <w:vAlign w:val="center"/>
            <w:hideMark/>
          </w:tcPr>
          <w:p w14:paraId="4FED6815" w14:textId="77777777" w:rsidR="000B514A" w:rsidRPr="00D03CB5" w:rsidRDefault="000B514A" w:rsidP="000B514A">
            <w:pPr>
              <w:pStyle w:val="NoSpacing"/>
            </w:pPr>
            <w:r w:rsidRPr="00D03CB5">
              <w:t xml:space="preserve"> Induced effects</w:t>
            </w:r>
          </w:p>
        </w:tc>
        <w:tc>
          <w:tcPr>
            <w:tcW w:w="2278" w:type="dxa"/>
            <w:tcBorders>
              <w:top w:val="nil"/>
              <w:left w:val="nil"/>
              <w:bottom w:val="single" w:sz="8" w:space="0" w:color="auto"/>
              <w:right w:val="single" w:sz="8" w:space="0" w:color="auto"/>
            </w:tcBorders>
            <w:shd w:val="clear" w:color="auto" w:fill="auto"/>
            <w:vAlign w:val="bottom"/>
            <w:hideMark/>
          </w:tcPr>
          <w:p w14:paraId="61BEC54B" w14:textId="77777777" w:rsidR="000B514A" w:rsidRDefault="000B514A" w:rsidP="000B514A">
            <w:pPr>
              <w:jc w:val="right"/>
              <w:rPr>
                <w:rFonts w:cs="Tahoma"/>
                <w:color w:val="000000"/>
              </w:rPr>
            </w:pPr>
            <w:r>
              <w:rPr>
                <w:rFonts w:cs="Tahoma"/>
                <w:color w:val="000000"/>
              </w:rPr>
              <w:t>14</w:t>
            </w:r>
          </w:p>
        </w:tc>
        <w:tc>
          <w:tcPr>
            <w:tcW w:w="2278" w:type="dxa"/>
            <w:tcBorders>
              <w:top w:val="nil"/>
              <w:left w:val="nil"/>
              <w:bottom w:val="single" w:sz="8" w:space="0" w:color="auto"/>
              <w:right w:val="single" w:sz="8" w:space="0" w:color="auto"/>
            </w:tcBorders>
            <w:shd w:val="clear" w:color="auto" w:fill="auto"/>
            <w:vAlign w:val="bottom"/>
            <w:hideMark/>
          </w:tcPr>
          <w:p w14:paraId="6EA3BC03" w14:textId="77777777" w:rsidR="000B514A" w:rsidRDefault="000B514A" w:rsidP="000B514A">
            <w:pPr>
              <w:jc w:val="right"/>
              <w:rPr>
                <w:rFonts w:cs="Tahoma"/>
                <w:color w:val="000000"/>
              </w:rPr>
            </w:pPr>
            <w:r>
              <w:rPr>
                <w:rFonts w:cs="Tahoma"/>
                <w:color w:val="000000"/>
              </w:rPr>
              <w:t>$794,799</w:t>
            </w:r>
          </w:p>
        </w:tc>
        <w:tc>
          <w:tcPr>
            <w:tcW w:w="2279" w:type="dxa"/>
            <w:tcBorders>
              <w:top w:val="nil"/>
              <w:left w:val="nil"/>
              <w:bottom w:val="single" w:sz="8" w:space="0" w:color="auto"/>
              <w:right w:val="single" w:sz="8" w:space="0" w:color="auto"/>
            </w:tcBorders>
            <w:shd w:val="clear" w:color="auto" w:fill="auto"/>
            <w:vAlign w:val="bottom"/>
            <w:hideMark/>
          </w:tcPr>
          <w:p w14:paraId="1A70C344" w14:textId="77777777" w:rsidR="000B514A" w:rsidRDefault="000B514A" w:rsidP="000B514A">
            <w:pPr>
              <w:jc w:val="right"/>
              <w:rPr>
                <w:rFonts w:cs="Tahoma"/>
                <w:color w:val="000000"/>
              </w:rPr>
            </w:pPr>
            <w:r>
              <w:rPr>
                <w:rFonts w:cs="Tahoma"/>
                <w:color w:val="000000"/>
              </w:rPr>
              <w:t>$2,168,377</w:t>
            </w:r>
          </w:p>
        </w:tc>
      </w:tr>
      <w:tr w:rsidR="000B514A" w14:paraId="041E0F2A" w14:textId="77777777" w:rsidTr="00572B8C">
        <w:trPr>
          <w:trHeight w:val="288"/>
        </w:trPr>
        <w:tc>
          <w:tcPr>
            <w:tcW w:w="2356" w:type="dxa"/>
            <w:tcBorders>
              <w:top w:val="nil"/>
              <w:left w:val="single" w:sz="8" w:space="0" w:color="auto"/>
              <w:bottom w:val="single" w:sz="8" w:space="0" w:color="auto"/>
              <w:right w:val="single" w:sz="8" w:space="0" w:color="auto"/>
            </w:tcBorders>
            <w:shd w:val="clear" w:color="auto" w:fill="auto"/>
            <w:vAlign w:val="center"/>
            <w:hideMark/>
          </w:tcPr>
          <w:p w14:paraId="5A1E09F7" w14:textId="77777777" w:rsidR="000B514A" w:rsidRPr="00D03CB5" w:rsidRDefault="000B514A" w:rsidP="000B514A">
            <w:pPr>
              <w:pStyle w:val="NoSpacing"/>
              <w:rPr>
                <w:b/>
              </w:rPr>
            </w:pPr>
            <w:r w:rsidRPr="00D03CB5">
              <w:rPr>
                <w:b/>
              </w:rPr>
              <w:t>Total</w:t>
            </w:r>
          </w:p>
        </w:tc>
        <w:tc>
          <w:tcPr>
            <w:tcW w:w="2278" w:type="dxa"/>
            <w:tcBorders>
              <w:top w:val="nil"/>
              <w:left w:val="nil"/>
              <w:bottom w:val="single" w:sz="8" w:space="0" w:color="auto"/>
              <w:right w:val="single" w:sz="8" w:space="0" w:color="auto"/>
            </w:tcBorders>
            <w:shd w:val="clear" w:color="auto" w:fill="auto"/>
            <w:vAlign w:val="bottom"/>
            <w:hideMark/>
          </w:tcPr>
          <w:p w14:paraId="4D712AF6" w14:textId="77777777" w:rsidR="000B514A" w:rsidRPr="000B514A" w:rsidRDefault="000B514A" w:rsidP="000B514A">
            <w:pPr>
              <w:jc w:val="right"/>
              <w:rPr>
                <w:rFonts w:cs="Tahoma"/>
                <w:b/>
                <w:color w:val="000000"/>
              </w:rPr>
            </w:pPr>
            <w:r w:rsidRPr="000B514A">
              <w:rPr>
                <w:rFonts w:cs="Tahoma"/>
                <w:b/>
                <w:color w:val="000000"/>
              </w:rPr>
              <w:t>172</w:t>
            </w:r>
          </w:p>
        </w:tc>
        <w:tc>
          <w:tcPr>
            <w:tcW w:w="2278" w:type="dxa"/>
            <w:tcBorders>
              <w:top w:val="nil"/>
              <w:left w:val="nil"/>
              <w:bottom w:val="single" w:sz="8" w:space="0" w:color="auto"/>
              <w:right w:val="single" w:sz="8" w:space="0" w:color="auto"/>
            </w:tcBorders>
            <w:shd w:val="clear" w:color="auto" w:fill="auto"/>
            <w:vAlign w:val="bottom"/>
            <w:hideMark/>
          </w:tcPr>
          <w:p w14:paraId="0989FE3B" w14:textId="77777777" w:rsidR="000B514A" w:rsidRPr="000B514A" w:rsidRDefault="000B514A" w:rsidP="000B514A">
            <w:pPr>
              <w:jc w:val="right"/>
              <w:rPr>
                <w:rFonts w:cs="Tahoma"/>
                <w:b/>
                <w:color w:val="000000"/>
              </w:rPr>
            </w:pPr>
            <w:r w:rsidRPr="000B514A">
              <w:rPr>
                <w:rFonts w:cs="Tahoma"/>
                <w:b/>
                <w:color w:val="000000"/>
              </w:rPr>
              <w:t>$6,576,014</w:t>
            </w:r>
          </w:p>
        </w:tc>
        <w:tc>
          <w:tcPr>
            <w:tcW w:w="2279" w:type="dxa"/>
            <w:tcBorders>
              <w:top w:val="nil"/>
              <w:left w:val="nil"/>
              <w:bottom w:val="single" w:sz="8" w:space="0" w:color="auto"/>
              <w:right w:val="single" w:sz="8" w:space="0" w:color="auto"/>
            </w:tcBorders>
            <w:shd w:val="clear" w:color="auto" w:fill="auto"/>
            <w:vAlign w:val="bottom"/>
            <w:hideMark/>
          </w:tcPr>
          <w:p w14:paraId="0DEACF44" w14:textId="77777777" w:rsidR="000B514A" w:rsidRPr="000B514A" w:rsidRDefault="000B514A" w:rsidP="000B514A">
            <w:pPr>
              <w:jc w:val="right"/>
              <w:rPr>
                <w:rFonts w:cs="Tahoma"/>
                <w:b/>
                <w:color w:val="000000"/>
              </w:rPr>
            </w:pPr>
            <w:r w:rsidRPr="000B514A">
              <w:rPr>
                <w:rFonts w:cs="Tahoma"/>
                <w:b/>
                <w:color w:val="000000"/>
              </w:rPr>
              <w:t>$14,975,641</w:t>
            </w:r>
          </w:p>
        </w:tc>
      </w:tr>
    </w:tbl>
    <w:p w14:paraId="10387F39" w14:textId="77777777" w:rsidR="00C412EF" w:rsidRDefault="000B514A" w:rsidP="002111C2">
      <w:pPr>
        <w:spacing w:after="200" w:line="300" w:lineRule="auto"/>
        <w:rPr>
          <w:sz w:val="20"/>
        </w:rPr>
      </w:pPr>
      <w:r w:rsidRPr="0048482F">
        <w:rPr>
          <w:sz w:val="20"/>
        </w:rPr>
        <w:t>Source: Sage, IMPLAN</w:t>
      </w:r>
    </w:p>
    <w:p w14:paraId="627573B0" w14:textId="1517D6EE" w:rsidR="00A02CB6" w:rsidRDefault="00A02CB6" w:rsidP="00A02CB6">
      <w:pPr>
        <w:spacing w:after="200" w:line="300" w:lineRule="auto"/>
      </w:pPr>
      <w:r>
        <w:t>Sage used computations of effective tax rates to derive associated income tax estimates based on data from the State of Maryland’s Comprehensive Annual Financial Report and the U.S. Bureau of Economic Analysis</w:t>
      </w:r>
      <w:r w:rsidR="002A2719">
        <w:t>.  Effective local and State income tax rates are</w:t>
      </w:r>
      <w:r w:rsidRPr="00712B6F">
        <w:t xml:space="preserve"> estimated at 2.41 percent and 3.57 percent</w:t>
      </w:r>
      <w:r>
        <w:t xml:space="preserve">, respectively.  The IMPLAN model directly supplies parameters allowing for the estimation of sales tax and property tax collections.  In total, Sail Baltimore supports </w:t>
      </w:r>
      <w:r w:rsidR="002A2719">
        <w:t xml:space="preserve">about $440,000 in annual tax collections in Baltimore City and an additional $460,000 for the State of Maryland.  </w:t>
      </w:r>
      <w:r>
        <w:t xml:space="preserve">Exhibit 3 </w:t>
      </w:r>
      <w:r w:rsidR="002A2719">
        <w:t>summarizes</w:t>
      </w:r>
      <w:r>
        <w:t xml:space="preserve">. </w:t>
      </w:r>
    </w:p>
    <w:p w14:paraId="4EE419CD" w14:textId="77777777" w:rsidR="00A02CB6" w:rsidRDefault="00A02CB6" w:rsidP="00A02CB6">
      <w:pPr>
        <w:pStyle w:val="Exhibit"/>
      </w:pPr>
      <w:r>
        <w:t>Exhibit 3: Ongoing Annual Fiscal Impacts</w:t>
      </w:r>
    </w:p>
    <w:tbl>
      <w:tblPr>
        <w:tblW w:w="8640" w:type="dxa"/>
        <w:tblInd w:w="-100" w:type="dxa"/>
        <w:tblLook w:val="04A0" w:firstRow="1" w:lastRow="0" w:firstColumn="1" w:lastColumn="0" w:noHBand="0" w:noVBand="1"/>
      </w:tblPr>
      <w:tblGrid>
        <w:gridCol w:w="4803"/>
        <w:gridCol w:w="3837"/>
      </w:tblGrid>
      <w:tr w:rsidR="00A02CB6" w:rsidRPr="00952701" w14:paraId="46D25B36" w14:textId="77777777" w:rsidTr="00572B8C">
        <w:trPr>
          <w:trHeight w:val="142"/>
        </w:trPr>
        <w:tc>
          <w:tcPr>
            <w:tcW w:w="4803" w:type="dxa"/>
            <w:tcBorders>
              <w:top w:val="single" w:sz="8" w:space="0" w:color="auto"/>
              <w:left w:val="single" w:sz="8" w:space="0" w:color="auto"/>
              <w:right w:val="single" w:sz="8" w:space="0" w:color="auto"/>
            </w:tcBorders>
            <w:shd w:val="clear" w:color="auto" w:fill="1F4E79" w:themeFill="accent1" w:themeFillShade="80"/>
            <w:vAlign w:val="center"/>
            <w:hideMark/>
          </w:tcPr>
          <w:p w14:paraId="1FBEB8C6" w14:textId="77777777" w:rsidR="00A02CB6" w:rsidRPr="00952701" w:rsidRDefault="00A02CB6" w:rsidP="00572B8C">
            <w:pPr>
              <w:jc w:val="center"/>
              <w:rPr>
                <w:b/>
                <w:bCs/>
                <w:color w:val="FFFFFF"/>
              </w:rPr>
            </w:pPr>
            <w:r>
              <w:rPr>
                <w:b/>
                <w:bCs/>
                <w:color w:val="FFFFFF"/>
              </w:rPr>
              <w:t xml:space="preserve">Location and type </w:t>
            </w:r>
            <w:r w:rsidRPr="00952701">
              <w:rPr>
                <w:b/>
                <w:bCs/>
                <w:color w:val="FFFFFF"/>
              </w:rPr>
              <w:t>of impact</w:t>
            </w:r>
          </w:p>
        </w:tc>
        <w:tc>
          <w:tcPr>
            <w:tcW w:w="3837" w:type="dxa"/>
            <w:tcBorders>
              <w:top w:val="single" w:sz="8" w:space="0" w:color="auto"/>
              <w:left w:val="nil"/>
              <w:right w:val="single" w:sz="8" w:space="0" w:color="auto"/>
            </w:tcBorders>
            <w:shd w:val="clear" w:color="auto" w:fill="1F4E79" w:themeFill="accent1" w:themeFillShade="80"/>
            <w:vAlign w:val="center"/>
            <w:hideMark/>
          </w:tcPr>
          <w:p w14:paraId="72C33B99" w14:textId="77777777" w:rsidR="00A02CB6" w:rsidRPr="00952701" w:rsidRDefault="00A02CB6" w:rsidP="00572B8C">
            <w:pPr>
              <w:jc w:val="center"/>
              <w:rPr>
                <w:b/>
                <w:bCs/>
                <w:color w:val="FFFFFF"/>
              </w:rPr>
            </w:pPr>
            <w:r w:rsidRPr="00952701">
              <w:rPr>
                <w:b/>
                <w:bCs/>
                <w:iCs/>
                <w:color w:val="FFFFFF"/>
              </w:rPr>
              <w:t>Value</w:t>
            </w:r>
          </w:p>
        </w:tc>
      </w:tr>
      <w:tr w:rsidR="00A02CB6" w:rsidRPr="00952701" w14:paraId="5AB5DBBA" w14:textId="77777777" w:rsidTr="00572B8C">
        <w:trPr>
          <w:trHeight w:val="268"/>
        </w:trPr>
        <w:tc>
          <w:tcPr>
            <w:tcW w:w="8640" w:type="dxa"/>
            <w:gridSpan w:val="2"/>
            <w:tcBorders>
              <w:top w:val="single" w:sz="8" w:space="0" w:color="auto"/>
              <w:left w:val="single" w:sz="8" w:space="0" w:color="auto"/>
              <w:bottom w:val="single" w:sz="8" w:space="0" w:color="auto"/>
              <w:right w:val="single" w:sz="8" w:space="0" w:color="000000"/>
            </w:tcBorders>
            <w:shd w:val="clear" w:color="auto" w:fill="auto"/>
          </w:tcPr>
          <w:p w14:paraId="0F01FF8F" w14:textId="77777777" w:rsidR="00A02CB6" w:rsidRPr="00952701" w:rsidRDefault="00A02CB6" w:rsidP="00572B8C">
            <w:pPr>
              <w:rPr>
                <w:i/>
                <w:iCs/>
                <w:color w:val="000000"/>
              </w:rPr>
            </w:pPr>
            <w:r>
              <w:rPr>
                <w:b/>
                <w:i/>
                <w:iCs/>
                <w:color w:val="000000"/>
              </w:rPr>
              <w:t>Baltimore City</w:t>
            </w:r>
          </w:p>
        </w:tc>
      </w:tr>
      <w:tr w:rsidR="00A02CB6" w:rsidRPr="00952701" w14:paraId="20BBA8CB" w14:textId="77777777" w:rsidTr="00572B8C">
        <w:trPr>
          <w:trHeight w:val="254"/>
        </w:trPr>
        <w:tc>
          <w:tcPr>
            <w:tcW w:w="4803" w:type="dxa"/>
            <w:tcBorders>
              <w:top w:val="single" w:sz="8" w:space="0" w:color="auto"/>
              <w:left w:val="single" w:sz="8" w:space="0" w:color="auto"/>
              <w:bottom w:val="single" w:sz="8" w:space="0" w:color="auto"/>
              <w:right w:val="single" w:sz="8" w:space="0" w:color="000000"/>
            </w:tcBorders>
            <w:shd w:val="clear" w:color="auto" w:fill="auto"/>
          </w:tcPr>
          <w:p w14:paraId="0DBB530D" w14:textId="77777777" w:rsidR="00A02CB6" w:rsidRPr="00952701" w:rsidRDefault="00A02CB6" w:rsidP="00572B8C">
            <w:pPr>
              <w:rPr>
                <w:iCs/>
                <w:color w:val="000000"/>
              </w:rPr>
            </w:pPr>
            <w:r>
              <w:rPr>
                <w:iCs/>
              </w:rPr>
              <w:t>Income Tax Revenues</w:t>
            </w:r>
          </w:p>
        </w:tc>
        <w:tc>
          <w:tcPr>
            <w:tcW w:w="3837" w:type="dxa"/>
            <w:tcBorders>
              <w:top w:val="single" w:sz="8" w:space="0" w:color="auto"/>
              <w:left w:val="single" w:sz="8" w:space="0" w:color="auto"/>
              <w:bottom w:val="single" w:sz="8" w:space="0" w:color="auto"/>
              <w:right w:val="single" w:sz="8" w:space="0" w:color="000000"/>
            </w:tcBorders>
            <w:shd w:val="clear" w:color="auto" w:fill="auto"/>
          </w:tcPr>
          <w:p w14:paraId="666DE373" w14:textId="77777777" w:rsidR="00A02CB6" w:rsidRPr="00712B6F" w:rsidRDefault="00A02CB6" w:rsidP="00A02CB6">
            <w:pPr>
              <w:jc w:val="right"/>
              <w:rPr>
                <w:rFonts w:cs="Calibri"/>
                <w:color w:val="333333"/>
                <w:sz w:val="22"/>
              </w:rPr>
            </w:pPr>
            <w:r>
              <w:rPr>
                <w:rFonts w:cs="Calibri"/>
                <w:color w:val="333333"/>
                <w:sz w:val="22"/>
              </w:rPr>
              <w:t>$158,482</w:t>
            </w:r>
            <w:r w:rsidRPr="00712B6F">
              <w:rPr>
                <w:rFonts w:cs="Calibri"/>
                <w:color w:val="333333"/>
                <w:sz w:val="22"/>
              </w:rPr>
              <w:t xml:space="preserve"> </w:t>
            </w:r>
          </w:p>
        </w:tc>
      </w:tr>
      <w:tr w:rsidR="00A02CB6" w:rsidRPr="00952701" w14:paraId="260236EE" w14:textId="77777777" w:rsidTr="00572B8C">
        <w:trPr>
          <w:trHeight w:val="250"/>
        </w:trPr>
        <w:tc>
          <w:tcPr>
            <w:tcW w:w="4803" w:type="dxa"/>
            <w:tcBorders>
              <w:top w:val="single" w:sz="8" w:space="0" w:color="auto"/>
              <w:left w:val="single" w:sz="8" w:space="0" w:color="auto"/>
              <w:bottom w:val="single" w:sz="8" w:space="0" w:color="auto"/>
              <w:right w:val="single" w:sz="8" w:space="0" w:color="000000"/>
            </w:tcBorders>
            <w:shd w:val="clear" w:color="auto" w:fill="auto"/>
          </w:tcPr>
          <w:p w14:paraId="5A472A71" w14:textId="77777777" w:rsidR="00A02CB6" w:rsidRPr="00952701" w:rsidRDefault="00A02CB6" w:rsidP="00572B8C">
            <w:pPr>
              <w:rPr>
                <w:iCs/>
                <w:color w:val="000000"/>
              </w:rPr>
            </w:pPr>
            <w:r>
              <w:rPr>
                <w:iCs/>
                <w:color w:val="000000"/>
              </w:rPr>
              <w:t>Property Tax Revenues</w:t>
            </w:r>
          </w:p>
        </w:tc>
        <w:tc>
          <w:tcPr>
            <w:tcW w:w="3837" w:type="dxa"/>
            <w:tcBorders>
              <w:top w:val="single" w:sz="8" w:space="0" w:color="auto"/>
              <w:left w:val="single" w:sz="8" w:space="0" w:color="auto"/>
              <w:bottom w:val="single" w:sz="8" w:space="0" w:color="auto"/>
              <w:right w:val="single" w:sz="8" w:space="0" w:color="000000"/>
            </w:tcBorders>
            <w:shd w:val="clear" w:color="auto" w:fill="auto"/>
          </w:tcPr>
          <w:p w14:paraId="773421D1" w14:textId="77777777" w:rsidR="00A02CB6" w:rsidRPr="00952701" w:rsidRDefault="00A02CB6" w:rsidP="00572B8C">
            <w:pPr>
              <w:jc w:val="right"/>
              <w:rPr>
                <w:rFonts w:cs="Calibri"/>
                <w:color w:val="333333"/>
                <w:sz w:val="22"/>
              </w:rPr>
            </w:pPr>
            <w:r>
              <w:rPr>
                <w:rFonts w:cs="Calibri"/>
                <w:color w:val="333333"/>
                <w:sz w:val="22"/>
              </w:rPr>
              <w:t>$277,975</w:t>
            </w:r>
            <w:r w:rsidRPr="00CA5EE2">
              <w:rPr>
                <w:rFonts w:cs="Calibri"/>
                <w:color w:val="333333"/>
                <w:sz w:val="22"/>
              </w:rPr>
              <w:t xml:space="preserve"> </w:t>
            </w:r>
          </w:p>
        </w:tc>
      </w:tr>
      <w:tr w:rsidR="00A02CB6" w:rsidRPr="00952701" w14:paraId="7CF45DBF" w14:textId="77777777" w:rsidTr="00572B8C">
        <w:trPr>
          <w:trHeight w:val="254"/>
        </w:trPr>
        <w:tc>
          <w:tcPr>
            <w:tcW w:w="4803" w:type="dxa"/>
            <w:tcBorders>
              <w:top w:val="single" w:sz="8" w:space="0" w:color="auto"/>
              <w:left w:val="single" w:sz="8" w:space="0" w:color="auto"/>
              <w:bottom w:val="single" w:sz="8" w:space="0" w:color="auto"/>
              <w:right w:val="single" w:sz="8" w:space="0" w:color="000000"/>
            </w:tcBorders>
            <w:shd w:val="clear" w:color="auto" w:fill="auto"/>
          </w:tcPr>
          <w:p w14:paraId="3E02006F" w14:textId="77777777" w:rsidR="00A02CB6" w:rsidRPr="00952701" w:rsidRDefault="00A02CB6" w:rsidP="00572B8C">
            <w:pPr>
              <w:ind w:firstLine="1152"/>
              <w:rPr>
                <w:iCs/>
              </w:rPr>
            </w:pPr>
            <w:r w:rsidRPr="00952701">
              <w:rPr>
                <w:b/>
                <w:color w:val="000000"/>
              </w:rPr>
              <w:t>Total</w:t>
            </w:r>
          </w:p>
        </w:tc>
        <w:tc>
          <w:tcPr>
            <w:tcW w:w="3837" w:type="dxa"/>
            <w:tcBorders>
              <w:top w:val="single" w:sz="8" w:space="0" w:color="auto"/>
              <w:left w:val="single" w:sz="8" w:space="0" w:color="auto"/>
              <w:bottom w:val="single" w:sz="8" w:space="0" w:color="auto"/>
              <w:right w:val="single" w:sz="8" w:space="0" w:color="000000"/>
            </w:tcBorders>
            <w:shd w:val="clear" w:color="auto" w:fill="auto"/>
          </w:tcPr>
          <w:p w14:paraId="6DD77019" w14:textId="77777777" w:rsidR="00A02CB6" w:rsidRPr="00A02CB6" w:rsidRDefault="00A02CB6" w:rsidP="00A02CB6">
            <w:pPr>
              <w:jc w:val="right"/>
              <w:rPr>
                <w:rFonts w:cs="Calibri"/>
                <w:b/>
                <w:color w:val="333333"/>
                <w:sz w:val="22"/>
              </w:rPr>
            </w:pPr>
            <w:r w:rsidRPr="00A02CB6">
              <w:rPr>
                <w:rFonts w:cs="Calibri"/>
                <w:b/>
                <w:color w:val="333333"/>
                <w:sz w:val="22"/>
              </w:rPr>
              <w:t xml:space="preserve">$436,457 </w:t>
            </w:r>
          </w:p>
        </w:tc>
      </w:tr>
      <w:tr w:rsidR="00A02CB6" w:rsidRPr="00952701" w14:paraId="1005E7B9" w14:textId="77777777" w:rsidTr="00572B8C">
        <w:trPr>
          <w:trHeight w:val="160"/>
        </w:trPr>
        <w:tc>
          <w:tcPr>
            <w:tcW w:w="864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45BD7387" w14:textId="77777777" w:rsidR="00A02CB6" w:rsidRPr="00952701" w:rsidRDefault="00A02CB6" w:rsidP="00572B8C">
            <w:pPr>
              <w:rPr>
                <w:i/>
                <w:iCs/>
                <w:color w:val="000000"/>
              </w:rPr>
            </w:pPr>
            <w:r w:rsidRPr="00BB3BF6">
              <w:rPr>
                <w:b/>
                <w:i/>
                <w:iCs/>
                <w:color w:val="000000"/>
              </w:rPr>
              <w:t>Maryland</w:t>
            </w:r>
          </w:p>
        </w:tc>
      </w:tr>
      <w:tr w:rsidR="00A02CB6" w:rsidRPr="00952701" w14:paraId="1672970E" w14:textId="77777777" w:rsidTr="00572B8C">
        <w:trPr>
          <w:trHeight w:val="223"/>
        </w:trPr>
        <w:tc>
          <w:tcPr>
            <w:tcW w:w="4803" w:type="dxa"/>
            <w:tcBorders>
              <w:top w:val="nil"/>
              <w:left w:val="single" w:sz="8" w:space="0" w:color="auto"/>
              <w:bottom w:val="single" w:sz="8" w:space="0" w:color="auto"/>
              <w:right w:val="single" w:sz="8" w:space="0" w:color="auto"/>
            </w:tcBorders>
            <w:shd w:val="clear" w:color="auto" w:fill="auto"/>
            <w:hideMark/>
          </w:tcPr>
          <w:p w14:paraId="4D976A57" w14:textId="77777777" w:rsidR="00A02CB6" w:rsidRPr="00952701" w:rsidRDefault="00A02CB6" w:rsidP="00572B8C">
            <w:pPr>
              <w:rPr>
                <w:color w:val="000000"/>
              </w:rPr>
            </w:pPr>
            <w:r w:rsidRPr="00952701">
              <w:rPr>
                <w:color w:val="000000"/>
              </w:rPr>
              <w:t xml:space="preserve">Income </w:t>
            </w:r>
            <w:r>
              <w:rPr>
                <w:color w:val="000000"/>
              </w:rPr>
              <w:t>T</w:t>
            </w:r>
            <w:r w:rsidRPr="00952701">
              <w:rPr>
                <w:color w:val="000000"/>
              </w:rPr>
              <w:t>ax</w:t>
            </w:r>
          </w:p>
        </w:tc>
        <w:tc>
          <w:tcPr>
            <w:tcW w:w="3837" w:type="dxa"/>
            <w:tcBorders>
              <w:top w:val="nil"/>
              <w:left w:val="nil"/>
              <w:bottom w:val="single" w:sz="8" w:space="0" w:color="auto"/>
              <w:right w:val="single" w:sz="8" w:space="0" w:color="auto"/>
            </w:tcBorders>
            <w:shd w:val="clear" w:color="auto" w:fill="auto"/>
            <w:vAlign w:val="bottom"/>
            <w:hideMark/>
          </w:tcPr>
          <w:p w14:paraId="44D7660B" w14:textId="77777777" w:rsidR="00A02CB6" w:rsidRPr="00A02CB6" w:rsidRDefault="00A02CB6" w:rsidP="00A02CB6">
            <w:pPr>
              <w:jc w:val="right"/>
              <w:rPr>
                <w:rFonts w:cs="Calibri"/>
                <w:color w:val="333333"/>
                <w:sz w:val="22"/>
              </w:rPr>
            </w:pPr>
            <w:r w:rsidRPr="00A02CB6">
              <w:rPr>
                <w:rFonts w:cs="Calibri"/>
                <w:color w:val="333333"/>
                <w:sz w:val="22"/>
              </w:rPr>
              <w:t>$234,764</w:t>
            </w:r>
          </w:p>
        </w:tc>
      </w:tr>
      <w:tr w:rsidR="00A02CB6" w:rsidRPr="00952701" w14:paraId="4A45B9B8" w14:textId="77777777" w:rsidTr="00572B8C">
        <w:trPr>
          <w:trHeight w:val="232"/>
        </w:trPr>
        <w:tc>
          <w:tcPr>
            <w:tcW w:w="4803" w:type="dxa"/>
            <w:tcBorders>
              <w:top w:val="nil"/>
              <w:left w:val="single" w:sz="8" w:space="0" w:color="auto"/>
              <w:bottom w:val="single" w:sz="8" w:space="0" w:color="auto"/>
              <w:right w:val="single" w:sz="8" w:space="0" w:color="auto"/>
            </w:tcBorders>
            <w:shd w:val="clear" w:color="auto" w:fill="auto"/>
            <w:hideMark/>
          </w:tcPr>
          <w:p w14:paraId="4519AC82" w14:textId="77777777" w:rsidR="00A02CB6" w:rsidRPr="00952701" w:rsidRDefault="00A02CB6" w:rsidP="00572B8C">
            <w:pPr>
              <w:rPr>
                <w:color w:val="000000"/>
              </w:rPr>
            </w:pPr>
            <w:r w:rsidRPr="00952701">
              <w:rPr>
                <w:color w:val="000000"/>
              </w:rPr>
              <w:t xml:space="preserve">Sales </w:t>
            </w:r>
            <w:r>
              <w:rPr>
                <w:color w:val="000000"/>
              </w:rPr>
              <w:t>T</w:t>
            </w:r>
            <w:r w:rsidRPr="00952701">
              <w:rPr>
                <w:color w:val="000000"/>
              </w:rPr>
              <w:t>ax</w:t>
            </w:r>
          </w:p>
        </w:tc>
        <w:tc>
          <w:tcPr>
            <w:tcW w:w="3837" w:type="dxa"/>
            <w:tcBorders>
              <w:top w:val="nil"/>
              <w:left w:val="nil"/>
              <w:bottom w:val="single" w:sz="8" w:space="0" w:color="auto"/>
              <w:right w:val="single" w:sz="8" w:space="0" w:color="auto"/>
            </w:tcBorders>
            <w:shd w:val="clear" w:color="auto" w:fill="auto"/>
            <w:vAlign w:val="bottom"/>
            <w:hideMark/>
          </w:tcPr>
          <w:p w14:paraId="04FBC874" w14:textId="77777777" w:rsidR="00A02CB6" w:rsidRPr="00CA5EE2" w:rsidRDefault="00A02CB6" w:rsidP="00572B8C">
            <w:pPr>
              <w:jc w:val="right"/>
              <w:rPr>
                <w:rFonts w:cs="Calibri"/>
                <w:color w:val="333333"/>
                <w:sz w:val="22"/>
              </w:rPr>
            </w:pPr>
            <w:r>
              <w:rPr>
                <w:rFonts w:cs="Calibri"/>
                <w:color w:val="333333"/>
                <w:sz w:val="22"/>
              </w:rPr>
              <w:t>$</w:t>
            </w:r>
            <w:r w:rsidRPr="00A02CB6">
              <w:rPr>
                <w:rFonts w:cs="Calibri"/>
                <w:color w:val="333333"/>
                <w:sz w:val="22"/>
              </w:rPr>
              <w:t>224,739</w:t>
            </w:r>
          </w:p>
        </w:tc>
      </w:tr>
      <w:tr w:rsidR="00A02CB6" w:rsidRPr="00952701" w14:paraId="4B671537" w14:textId="77777777" w:rsidTr="00572B8C">
        <w:trPr>
          <w:trHeight w:val="254"/>
        </w:trPr>
        <w:tc>
          <w:tcPr>
            <w:tcW w:w="4803" w:type="dxa"/>
            <w:tcBorders>
              <w:top w:val="nil"/>
              <w:left w:val="single" w:sz="8" w:space="0" w:color="auto"/>
              <w:bottom w:val="single" w:sz="4" w:space="0" w:color="auto"/>
              <w:right w:val="single" w:sz="8" w:space="0" w:color="auto"/>
            </w:tcBorders>
            <w:shd w:val="clear" w:color="auto" w:fill="auto"/>
            <w:hideMark/>
          </w:tcPr>
          <w:p w14:paraId="6FF2AECB" w14:textId="77777777" w:rsidR="00A02CB6" w:rsidRPr="00952701" w:rsidRDefault="00A02CB6" w:rsidP="004C553C">
            <w:pPr>
              <w:ind w:firstLineChars="500" w:firstLine="1200"/>
              <w:rPr>
                <w:b/>
                <w:color w:val="000000"/>
              </w:rPr>
            </w:pPr>
            <w:r w:rsidRPr="00952701">
              <w:rPr>
                <w:b/>
                <w:color w:val="000000"/>
              </w:rPr>
              <w:t>Total</w:t>
            </w:r>
          </w:p>
        </w:tc>
        <w:tc>
          <w:tcPr>
            <w:tcW w:w="3837" w:type="dxa"/>
            <w:tcBorders>
              <w:top w:val="nil"/>
              <w:left w:val="nil"/>
              <w:bottom w:val="single" w:sz="4" w:space="0" w:color="auto"/>
              <w:right w:val="single" w:sz="8" w:space="0" w:color="auto"/>
            </w:tcBorders>
            <w:shd w:val="clear" w:color="auto" w:fill="auto"/>
            <w:vAlign w:val="bottom"/>
            <w:hideMark/>
          </w:tcPr>
          <w:p w14:paraId="4C28919D" w14:textId="77777777" w:rsidR="00A02CB6" w:rsidRPr="00A02CB6" w:rsidRDefault="00A02CB6" w:rsidP="00A02CB6">
            <w:pPr>
              <w:jc w:val="right"/>
              <w:rPr>
                <w:rFonts w:cs="Calibri"/>
                <w:b/>
                <w:color w:val="333333"/>
                <w:sz w:val="22"/>
              </w:rPr>
            </w:pPr>
            <w:r w:rsidRPr="00A02CB6">
              <w:rPr>
                <w:rFonts w:cs="Calibri"/>
                <w:b/>
                <w:color w:val="333333"/>
                <w:sz w:val="22"/>
              </w:rPr>
              <w:t xml:space="preserve">$459,503 </w:t>
            </w:r>
          </w:p>
        </w:tc>
      </w:tr>
    </w:tbl>
    <w:p w14:paraId="4CA5CF5F" w14:textId="77777777" w:rsidR="00A92E05" w:rsidRDefault="00A02CB6" w:rsidP="00144CA8">
      <w:pPr>
        <w:spacing w:after="200" w:line="300" w:lineRule="auto"/>
      </w:pPr>
      <w:r w:rsidRPr="00A02CB6">
        <w:rPr>
          <w:sz w:val="20"/>
        </w:rPr>
        <w:t>Source: Sage, IMPLAN</w:t>
      </w:r>
      <w:r w:rsidR="002111C2" w:rsidRPr="002111C2">
        <w:br w:type="page"/>
      </w:r>
      <w:bookmarkEnd w:id="23"/>
    </w:p>
    <w:p w14:paraId="10115B09" w14:textId="77777777" w:rsidR="00FD0176" w:rsidRDefault="00FD0176" w:rsidP="00FD0176">
      <w:pPr>
        <w:pStyle w:val="Heading1"/>
        <w:rPr>
          <w:sz w:val="28"/>
        </w:rPr>
      </w:pPr>
      <w:r w:rsidRPr="00FD0176">
        <w:rPr>
          <w:sz w:val="28"/>
        </w:rPr>
        <w:t xml:space="preserve">Conclusion </w:t>
      </w:r>
    </w:p>
    <w:p w14:paraId="04DE34DA" w14:textId="77777777" w:rsidR="00FD0176" w:rsidRPr="00FD0176" w:rsidRDefault="00FD0176" w:rsidP="00FD0176"/>
    <w:p w14:paraId="71D0037E" w14:textId="3227A246" w:rsidR="00990849" w:rsidRDefault="00A02CB6" w:rsidP="00990849">
      <w:pPr>
        <w:spacing w:after="200" w:line="300" w:lineRule="auto"/>
      </w:pPr>
      <w:r>
        <w:t xml:space="preserve">Sail Baltimore </w:t>
      </w:r>
      <w:r w:rsidR="00CF4C10">
        <w:t>supports a tremendous amount of economic activity for an organization with only one full</w:t>
      </w:r>
      <w:r w:rsidR="002A2719">
        <w:t>-</w:t>
      </w:r>
      <w:r w:rsidR="00CF4C10">
        <w:t>time employee.</w:t>
      </w:r>
      <w:r w:rsidR="002A2719">
        <w:t xml:space="preserve">  </w:t>
      </w:r>
      <w:r w:rsidR="002D1CC7">
        <w:t>The organization also</w:t>
      </w:r>
      <w:r w:rsidR="002A2719">
        <w:t xml:space="preserve"> contributes to the educational and entertainment value of Charm City’s working waterfront.  Positive reputation effects are immense, but have not been quantified in this analysis.</w:t>
      </w:r>
      <w:r w:rsidR="00990849">
        <w:t xml:space="preserve">  </w:t>
      </w:r>
    </w:p>
    <w:p w14:paraId="614D5AC6" w14:textId="35893252" w:rsidR="00990849" w:rsidRPr="00255E0D" w:rsidRDefault="00990849" w:rsidP="00255E0D">
      <w:pPr>
        <w:spacing w:after="200" w:line="300" w:lineRule="auto"/>
      </w:pPr>
      <w:r>
        <w:t>Even without that quantification, its signature program, Visiting Ships</w:t>
      </w:r>
      <w:r w:rsidR="002D1CC7">
        <w:t>,</w:t>
      </w:r>
      <w:r>
        <w:t xml:space="preserve"> through related visitor spending and operational expenditures, supports</w:t>
      </w:r>
      <w:r w:rsidR="002A2719">
        <w:t xml:space="preserve"> </w:t>
      </w:r>
      <w:r w:rsidRPr="00990849">
        <w:t>$11.2 million in augmented visitor spending.</w:t>
      </w:r>
      <w:r>
        <w:t xml:space="preserve"> </w:t>
      </w:r>
      <w:r w:rsidRPr="00990849">
        <w:t xml:space="preserve"> </w:t>
      </w:r>
      <w:r>
        <w:t xml:space="preserve">This activity also </w:t>
      </w:r>
      <w:r w:rsidRPr="00990849">
        <w:t>supports more than 170 annual FTEs in Baltimore City.  This is equivalent to a sizeable company.  Those employees are associated with employee compensation approaching $6.6 million.  Local business sales are augmented by nearly $15 million.</w:t>
      </w:r>
      <w:r>
        <w:t xml:space="preserve">  Annual City tax collections are augmented by $440,000, while State of Maryland tax collections are bolstered by $460,000/annum.</w:t>
      </w:r>
    </w:p>
    <w:p w14:paraId="177AF243" w14:textId="5BA197E7" w:rsidR="00B73D20" w:rsidRPr="00B73D20" w:rsidRDefault="00B73D20" w:rsidP="00B73D20">
      <w:pPr>
        <w:pStyle w:val="Heading1"/>
        <w:spacing w:after="240"/>
        <w:rPr>
          <w:sz w:val="28"/>
        </w:rPr>
      </w:pPr>
      <w:r w:rsidRPr="00B73D20">
        <w:rPr>
          <w:sz w:val="28"/>
        </w:rPr>
        <w:t xml:space="preserve">Sage Policy Group, Inc. </w:t>
      </w:r>
    </w:p>
    <w:p w14:paraId="62ACA33E" w14:textId="77777777" w:rsidR="00B73D20" w:rsidRPr="00B73D20" w:rsidRDefault="00B73D20" w:rsidP="00B73D20">
      <w:pPr>
        <w:spacing w:after="200" w:line="300" w:lineRule="auto"/>
      </w:pPr>
      <w:r w:rsidRPr="00B73D20">
        <w:rPr>
          <w:b/>
        </w:rPr>
        <w:t>Sage Policy Group, Inc.,</w:t>
      </w:r>
      <w:r w:rsidRPr="00B73D20">
        <w:t xml:space="preserve"> a Sub Chapter S Corporation, was established in 2004 by Anirban Basu.  Sage is an eleven-person economic and policy consulting firm specializing in economic, fiscal and legislative analysis, program evaluation, and organizational and strategic development.  The firm’s clients include public agencies at every level of government, law firms, developers, money managers and an array of nonprofit organizations operating in a variety of segments.  As experts in research methods, our corporate focus is to utilize sound, widely accepted analytical techniques that provide our clients and their stakeholders with valid and reliable knowledge and information to support critical organization and decision-making requirements.  </w:t>
      </w:r>
    </w:p>
    <w:p w14:paraId="13FF767D" w14:textId="77777777" w:rsidR="00B73D20" w:rsidRPr="00B73D20" w:rsidRDefault="00B73D20" w:rsidP="00B73D20">
      <w:pPr>
        <w:spacing w:after="200" w:line="300" w:lineRule="auto"/>
      </w:pPr>
      <w:r w:rsidRPr="00B73D20">
        <w:t xml:space="preserve">As perhaps the most recognizable economic/policy consultancy in Maryland, Sage knows how to provide insight into the policy choices that an economic or fiscal environment may produce.  Sage is also adept at working with various stakeholders.  In recent times, we have worked with local governments in several states, state agencies, private developers, and a diverse group of other businesses. </w:t>
      </w:r>
    </w:p>
    <w:p w14:paraId="7ABBAE4F" w14:textId="7D5C15F5" w:rsidR="00B73D20" w:rsidRDefault="00B73D20" w:rsidP="00255E0D">
      <w:pPr>
        <w:spacing w:after="200" w:line="300" w:lineRule="auto"/>
      </w:pPr>
      <w:r w:rsidRPr="00B73D20">
        <w:t xml:space="preserve">Sage’s clients appreciate the firm’s capacity and willingness to go beyond trend forecasts and to envision likely scenarios and their impacts on key variables, including revenues and expenditures.  One of our principal strengths is the capacity to predict real estate and construction-related variables, which is important along both economic and fiscal dimensions. We are also immensely capable public speakers, and we are always willing and able to convey key findings of the study in a way that is impactful and attracts significant attention.  </w:t>
      </w:r>
      <w:r>
        <w:br w:type="page"/>
      </w:r>
    </w:p>
    <w:p w14:paraId="0D1B15D2" w14:textId="1DDBE43B" w:rsidR="00B73D20" w:rsidRPr="009143DF" w:rsidRDefault="002A2719" w:rsidP="00B73D20">
      <w:pPr>
        <w:spacing w:before="100" w:beforeAutospacing="1" w:after="100" w:afterAutospacing="1" w:line="276" w:lineRule="auto"/>
        <w:outlineLvl w:val="0"/>
        <w:rPr>
          <w:b/>
          <w:bCs/>
          <w:color w:val="244061"/>
          <w:kern w:val="36"/>
          <w:sz w:val="32"/>
        </w:rPr>
      </w:pPr>
      <w:bookmarkStart w:id="25" w:name="_Toc492393767"/>
      <w:r>
        <w:rPr>
          <w:b/>
          <w:bCs/>
          <w:color w:val="244061"/>
          <w:kern w:val="36"/>
          <w:sz w:val="32"/>
        </w:rPr>
        <w:t>Appendix</w:t>
      </w:r>
      <w:r w:rsidR="00B73D20" w:rsidRPr="009143DF">
        <w:rPr>
          <w:b/>
          <w:bCs/>
          <w:color w:val="244061"/>
          <w:kern w:val="36"/>
          <w:sz w:val="32"/>
        </w:rPr>
        <w:t xml:space="preserve"> </w:t>
      </w:r>
      <w:r w:rsidR="00B73D20">
        <w:rPr>
          <w:b/>
          <w:bCs/>
          <w:color w:val="244061"/>
          <w:kern w:val="36"/>
          <w:sz w:val="32"/>
        </w:rPr>
        <w:t>–</w:t>
      </w:r>
      <w:r w:rsidR="00B73D20" w:rsidRPr="009143DF">
        <w:rPr>
          <w:b/>
          <w:bCs/>
          <w:color w:val="244061"/>
          <w:kern w:val="36"/>
          <w:sz w:val="32"/>
        </w:rPr>
        <w:t xml:space="preserve"> </w:t>
      </w:r>
      <w:r w:rsidR="00B73D20">
        <w:rPr>
          <w:b/>
          <w:bCs/>
          <w:color w:val="244061"/>
          <w:kern w:val="36"/>
          <w:sz w:val="32"/>
        </w:rPr>
        <w:t>IMPLAN</w:t>
      </w:r>
      <w:bookmarkEnd w:id="25"/>
      <w:r w:rsidR="00B73D20">
        <w:rPr>
          <w:b/>
          <w:bCs/>
          <w:color w:val="244061"/>
          <w:kern w:val="36"/>
          <w:sz w:val="32"/>
        </w:rPr>
        <w:t xml:space="preserve"> </w:t>
      </w:r>
    </w:p>
    <w:p w14:paraId="6320DC59" w14:textId="77777777" w:rsidR="00B73D20" w:rsidRPr="009143DF" w:rsidRDefault="00B73D20" w:rsidP="00B73D20">
      <w:r>
        <w:t>IMPLAN</w:t>
      </w:r>
      <w:r w:rsidRPr="009143DF">
        <w:t xml:space="preserve"> is an economic impact assessment software system.  The system was originally developed and is now maintained by the Minnesota </w:t>
      </w:r>
      <w:r>
        <w:t>IMPLAN</w:t>
      </w:r>
      <w:r w:rsidRPr="009143DF">
        <w:t xml:space="preserve"> Group (MIG).  It combines a set of extensive databases concerning economic factors, multipliers and demographic statistics with a highly refined and detailed system of modeling software.  </w:t>
      </w:r>
      <w:r>
        <w:t>IMPLAN</w:t>
      </w:r>
      <w:r w:rsidRPr="009143DF">
        <w:t xml:space="preserve"> allows the user to develop local-level input-output models that can estimate the economic impact of new firms moving into an area as well as the impacts of professional sports teams, recreation and tourism, and residential development.  The model accomplishes this by identifying direct impacts by sector, then developing a set of indirect and induced impacts by sector through the use of industry-specific multipliers, local purchase coefficients, income-to-output ratios, and other factors and relationships.  </w:t>
      </w:r>
    </w:p>
    <w:p w14:paraId="7EB231F9" w14:textId="77777777" w:rsidR="00B73D20" w:rsidRPr="009143DF" w:rsidRDefault="00B73D20" w:rsidP="00B73D20"/>
    <w:p w14:paraId="15341006" w14:textId="77777777" w:rsidR="00B73D20" w:rsidRPr="009143DF" w:rsidRDefault="00B73D20" w:rsidP="00B73D20">
      <w:r w:rsidRPr="009143DF">
        <w:t xml:space="preserve">There are two major components to </w:t>
      </w:r>
      <w:r>
        <w:t>IMPLAN</w:t>
      </w:r>
      <w:r w:rsidRPr="009143DF">
        <w:t xml:space="preserve">: data files and software.  An impact analysis using </w:t>
      </w:r>
      <w:r>
        <w:t>IMPLAN</w:t>
      </w:r>
      <w:r w:rsidRPr="009143DF">
        <w:t xml:space="preserve"> starts by identifying expenditures in terms of the sectoring scheme for the model. Each spending category becomes a "group" of "events" in </w:t>
      </w:r>
      <w:r>
        <w:t>IMPLAN</w:t>
      </w:r>
      <w:r w:rsidRPr="009143DF">
        <w:t xml:space="preserve">, where each event specifies the portion of activity allocated to a specific </w:t>
      </w:r>
      <w:r>
        <w:t>IMPLAN</w:t>
      </w:r>
      <w:r w:rsidRPr="009143DF">
        <w:t xml:space="preserve"> sector.  Groups of events can then be used to run impact analysis individually or can be combined into a project consisting of several groups.  Once the direct economic impacts have been identified, </w:t>
      </w:r>
      <w:r>
        <w:t>IMPLAN</w:t>
      </w:r>
      <w:r w:rsidRPr="009143DF">
        <w:t xml:space="preserve"> can calculate the indirect and induced impacts based on a set of multipliers and additional factors.</w:t>
      </w:r>
    </w:p>
    <w:p w14:paraId="6BAE3CE3" w14:textId="77777777" w:rsidR="00B73D20" w:rsidRPr="009143DF" w:rsidRDefault="00B73D20" w:rsidP="00B73D20"/>
    <w:p w14:paraId="1662B7CB" w14:textId="77777777" w:rsidR="00B73D20" w:rsidRPr="009143DF" w:rsidRDefault="00B73D20" w:rsidP="00B73D20">
      <w:r w:rsidRPr="009143DF">
        <w:t>Secondary benefits can be segmented into two types of impacts, indirect and induced.  Indirect benefits are related to the business-to-business transactions that take place due to increased demand for goods and services that accompanies augmented investment and business operations.  Impacted businesses sell everything from office furniture and copiers to computer and graphic design services.  Induced benefits are created when workers directly or indirectly supported by increased economic activity spend their earnings in the local economy.  Indirect and induced benefits together comprise total multiplier effects.</w:t>
      </w:r>
    </w:p>
    <w:p w14:paraId="6431ACCD" w14:textId="77777777" w:rsidR="00B73D20" w:rsidRPr="009143DF" w:rsidRDefault="00B73D20" w:rsidP="00B73D20">
      <w:pPr>
        <w:rPr>
          <w:rFonts w:eastAsia="Times"/>
        </w:rPr>
      </w:pPr>
    </w:p>
    <w:p w14:paraId="60BF2E4E" w14:textId="77777777" w:rsidR="00B73D20" w:rsidRPr="009143DF" w:rsidRDefault="00B73D20" w:rsidP="00B73D20">
      <w:pPr>
        <w:rPr>
          <w:rFonts w:eastAsia="Times"/>
        </w:rPr>
      </w:pPr>
      <w:r w:rsidRPr="009143DF">
        <w:rPr>
          <w:rFonts w:eastAsia="Times"/>
        </w:rPr>
        <w:t xml:space="preserve">The hallmark of </w:t>
      </w:r>
      <w:r>
        <w:rPr>
          <w:rFonts w:eastAsia="Times"/>
        </w:rPr>
        <w:t>IMPLAN</w:t>
      </w:r>
      <w:r w:rsidRPr="009143DF">
        <w:rPr>
          <w:rFonts w:eastAsia="Times"/>
        </w:rPr>
        <w:t xml:space="preserve"> is the specificity of its economic datasets.  The database includes information for five-hundred-and-twenty-eight different industries (generally at the three or four digit Standard Industrial Classification level), and twenty-one different economic variables.  Along with these data files, national input-output structural matrices detail the interrelationships between and among these sectors.  The database also contains a full schedule of Social Accounting Matrix (SAM) data.  All of this data is available at the national, state, and county level.</w:t>
      </w:r>
    </w:p>
    <w:p w14:paraId="21604D84" w14:textId="77777777" w:rsidR="00B73D20" w:rsidRPr="009143DF" w:rsidRDefault="00B73D20" w:rsidP="00B73D20">
      <w:pPr>
        <w:rPr>
          <w:rFonts w:eastAsia="Times"/>
        </w:rPr>
      </w:pPr>
    </w:p>
    <w:p w14:paraId="068A7901" w14:textId="77777777" w:rsidR="00B73D20" w:rsidRPr="009143DF" w:rsidRDefault="00B73D20" w:rsidP="00B73D20">
      <w:pPr>
        <w:rPr>
          <w:rFonts w:eastAsia="Times"/>
        </w:rPr>
      </w:pPr>
      <w:r w:rsidRPr="009143DF">
        <w:rPr>
          <w:rFonts w:eastAsia="Times"/>
        </w:rPr>
        <w:t xml:space="preserve">Another strength of the </w:t>
      </w:r>
      <w:r>
        <w:rPr>
          <w:rFonts w:eastAsia="Times"/>
        </w:rPr>
        <w:t>IMPLAN</w:t>
      </w:r>
      <w:r w:rsidRPr="009143DF">
        <w:rPr>
          <w:rFonts w:eastAsia="Times"/>
        </w:rPr>
        <w:t xml:space="preserve"> system is its flexibility.  It allows the user to augment any of the data or algorithmic relationships within each model in order to more precisely account for regional relationships.  This includes inputting different output-to-income ratios for a given industry, different wage rates, and different multipliers where appropriate. </w:t>
      </w:r>
      <w:r>
        <w:rPr>
          <w:rFonts w:eastAsia="Times"/>
        </w:rPr>
        <w:t>IMPLAN</w:t>
      </w:r>
      <w:r w:rsidRPr="009143DF">
        <w:rPr>
          <w:rFonts w:eastAsia="Times"/>
        </w:rPr>
        <w:t xml:space="preserve"> also provides the user with a choice of trade-flow assumptions, including the modification of regional purchase coefficients, which determine the mix of goods and services purchased locally with each dollar in each sector.</w:t>
      </w:r>
      <w:r w:rsidRPr="009143DF">
        <w:rPr>
          <w:rFonts w:eastAsia="Times"/>
          <w:snapToGrid w:val="0"/>
          <w:color w:val="000000"/>
        </w:rPr>
        <w:t xml:space="preserve">  Moreover, t</w:t>
      </w:r>
      <w:r w:rsidRPr="009143DF">
        <w:rPr>
          <w:rFonts w:eastAsia="Times"/>
        </w:rPr>
        <w:t xml:space="preserve">he system also allows the user to create custom impact analyses by entering changes in final demand. This flexibility is a critically important feature in terms of the Sage proposed approach.  Sage is uniquely qualified to develop data and factors tailored to this project, and, where appropriate, overwrite the default data contained in the </w:t>
      </w:r>
      <w:r>
        <w:rPr>
          <w:rFonts w:eastAsia="Times"/>
        </w:rPr>
        <w:t>IMPLAN</w:t>
      </w:r>
      <w:r w:rsidRPr="009143DF">
        <w:rPr>
          <w:rFonts w:eastAsia="Times"/>
        </w:rPr>
        <w:t xml:space="preserve"> database.  </w:t>
      </w:r>
    </w:p>
    <w:p w14:paraId="0950C9BF" w14:textId="77777777" w:rsidR="00B73D20" w:rsidRPr="009143DF" w:rsidRDefault="00B73D20" w:rsidP="00B73D20">
      <w:pPr>
        <w:rPr>
          <w:snapToGrid w:val="0"/>
          <w:color w:val="000000"/>
        </w:rPr>
      </w:pPr>
    </w:p>
    <w:p w14:paraId="7B586891" w14:textId="3F547A4A" w:rsidR="00B73D20" w:rsidRPr="009143DF" w:rsidRDefault="00B73D20" w:rsidP="00B73D20">
      <w:r w:rsidRPr="009143DF">
        <w:rPr>
          <w:snapToGrid w:val="0"/>
          <w:color w:val="000000"/>
        </w:rPr>
        <w:t xml:space="preserve">A final advantage of </w:t>
      </w:r>
      <w:r>
        <w:rPr>
          <w:snapToGrid w:val="0"/>
          <w:color w:val="000000"/>
        </w:rPr>
        <w:t>IMPLAN</w:t>
      </w:r>
      <w:r w:rsidRPr="009143DF">
        <w:rPr>
          <w:snapToGrid w:val="0"/>
          <w:color w:val="000000"/>
        </w:rPr>
        <w:t xml:space="preserve"> is its credibility and acceptance within the profession. </w:t>
      </w:r>
      <w:r w:rsidR="002A2719">
        <w:t>There are more than</w:t>
      </w:r>
      <w:r w:rsidRPr="009143DF">
        <w:t xml:space="preserve"> five hundred active users of </w:t>
      </w:r>
      <w:r>
        <w:t>IMPLAN</w:t>
      </w:r>
      <w:r w:rsidRPr="009143DF">
        <w:t xml:space="preserve"> databases and software within the federal and state governments, universities, and among private sector consultants.  The following list</w:t>
      </w:r>
      <w:r w:rsidRPr="009143DF">
        <w:rPr>
          <w:i/>
        </w:rPr>
        <w:t xml:space="preserve"> </w:t>
      </w:r>
      <w:r w:rsidRPr="009143DF">
        <w:t xml:space="preserve">provides a sampling of </w:t>
      </w:r>
      <w:r>
        <w:t>IMPLAN</w:t>
      </w:r>
      <w:r w:rsidRPr="009143DF">
        <w:t xml:space="preserve"> users.</w:t>
      </w:r>
    </w:p>
    <w:p w14:paraId="09B08E1F" w14:textId="77777777" w:rsidR="00B73D20" w:rsidRPr="009143DF" w:rsidRDefault="00B73D20" w:rsidP="00B73D20">
      <w:pPr>
        <w:spacing w:line="276" w:lineRule="auto"/>
        <w:rPr>
          <w:rFonts w:eastAsia="Calibri"/>
        </w:rPr>
      </w:pPr>
      <w:bookmarkStart w:id="26" w:name="_Toc291509706"/>
      <w:bookmarkStart w:id="27" w:name="_Toc476304038"/>
    </w:p>
    <w:p w14:paraId="5548F016" w14:textId="77777777" w:rsidR="00B73D20" w:rsidRPr="009143DF" w:rsidRDefault="00B73D20" w:rsidP="00B73D20">
      <w:pPr>
        <w:spacing w:line="276" w:lineRule="auto"/>
        <w:rPr>
          <w:rFonts w:eastAsia="Calibri"/>
        </w:rPr>
      </w:pPr>
      <w:r w:rsidRPr="009143DF">
        <w:rPr>
          <w:rFonts w:eastAsia="Calibri"/>
        </w:rPr>
        <w:t xml:space="preserve">Sample of </w:t>
      </w:r>
      <w:r>
        <w:rPr>
          <w:rFonts w:eastAsia="Calibri"/>
        </w:rPr>
        <w:t>IMPLAN</w:t>
      </w:r>
      <w:r w:rsidRPr="009143DF">
        <w:rPr>
          <w:rFonts w:eastAsia="Calibri"/>
        </w:rPr>
        <w:t xml:space="preserve"> Users:</w:t>
      </w:r>
      <w:bookmarkEnd w:id="26"/>
      <w:bookmarkEnd w:id="27"/>
    </w:p>
    <w:p w14:paraId="6A2F5800" w14:textId="77777777" w:rsidR="00B73D20" w:rsidRPr="009143DF" w:rsidRDefault="00B73D20" w:rsidP="00B73D20">
      <w:pPr>
        <w:spacing w:line="276" w:lineRule="auto"/>
        <w:rPr>
          <w:rFonts w:eastAsia="Calibri"/>
        </w:rPr>
      </w:pPr>
    </w:p>
    <w:p w14:paraId="354FFA4D" w14:textId="77777777" w:rsidR="00B73D20" w:rsidRPr="009143DF" w:rsidRDefault="00B73D20" w:rsidP="00B73D20">
      <w:pPr>
        <w:spacing w:line="276" w:lineRule="auto"/>
        <w:ind w:left="720" w:right="720"/>
        <w:rPr>
          <w:rFonts w:eastAsia="Calibri"/>
          <w:b/>
          <w:sz w:val="20"/>
          <w:u w:val="single"/>
        </w:rPr>
      </w:pPr>
      <w:r w:rsidRPr="009143DF">
        <w:rPr>
          <w:rFonts w:eastAsia="Calibri"/>
          <w:b/>
          <w:sz w:val="20"/>
          <w:u w:val="single"/>
        </w:rPr>
        <w:t>Academic Institutions</w:t>
      </w:r>
      <w:r w:rsidRPr="009143DF">
        <w:rPr>
          <w:rFonts w:eastAsia="Calibri"/>
          <w:sz w:val="20"/>
        </w:rPr>
        <w:tab/>
      </w:r>
      <w:r w:rsidRPr="009143DF">
        <w:rPr>
          <w:rFonts w:eastAsia="Calibri"/>
          <w:sz w:val="20"/>
        </w:rPr>
        <w:tab/>
      </w:r>
      <w:r w:rsidRPr="009143DF">
        <w:rPr>
          <w:rFonts w:eastAsia="Calibri"/>
          <w:sz w:val="20"/>
        </w:rPr>
        <w:tab/>
      </w:r>
      <w:r w:rsidRPr="009143DF">
        <w:rPr>
          <w:rFonts w:eastAsia="Calibri"/>
          <w:b/>
          <w:sz w:val="20"/>
          <w:u w:val="single"/>
        </w:rPr>
        <w:t>State Government Agencies</w:t>
      </w:r>
    </w:p>
    <w:p w14:paraId="584230F1" w14:textId="77777777" w:rsidR="00B73D20" w:rsidRPr="009143DF" w:rsidRDefault="00B73D20" w:rsidP="00B73D20">
      <w:pPr>
        <w:spacing w:line="276" w:lineRule="auto"/>
        <w:ind w:left="720" w:right="720"/>
        <w:rPr>
          <w:rFonts w:eastAsia="Calibri"/>
          <w:b/>
          <w:sz w:val="20"/>
          <w:u w:val="single"/>
        </w:rPr>
      </w:pPr>
    </w:p>
    <w:p w14:paraId="7E5C66A3" w14:textId="77777777" w:rsidR="00B73D20" w:rsidRPr="009143DF" w:rsidRDefault="00B73D20" w:rsidP="00B73D20">
      <w:pPr>
        <w:tabs>
          <w:tab w:val="left" w:pos="4320"/>
        </w:tabs>
        <w:spacing w:line="276" w:lineRule="auto"/>
        <w:ind w:left="720"/>
        <w:rPr>
          <w:rFonts w:eastAsia="Calibri"/>
          <w:sz w:val="20"/>
        </w:rPr>
      </w:pPr>
      <w:r w:rsidRPr="009143DF">
        <w:rPr>
          <w:rFonts w:eastAsia="Calibri"/>
          <w:sz w:val="20"/>
        </w:rPr>
        <w:t>Alabama A&amp;M University</w:t>
      </w:r>
      <w:r w:rsidRPr="009143DF">
        <w:rPr>
          <w:rFonts w:eastAsia="Calibri"/>
          <w:sz w:val="20"/>
        </w:rPr>
        <w:tab/>
        <w:t>MD Dep’t of Natural Resources</w:t>
      </w:r>
    </w:p>
    <w:p w14:paraId="39DA7A4B" w14:textId="77777777" w:rsidR="00B73D20" w:rsidRPr="009143DF" w:rsidRDefault="00B73D20" w:rsidP="00B73D20">
      <w:pPr>
        <w:tabs>
          <w:tab w:val="left" w:pos="4320"/>
          <w:tab w:val="left" w:pos="8640"/>
        </w:tabs>
        <w:spacing w:line="276" w:lineRule="auto"/>
        <w:ind w:left="720" w:right="-90"/>
        <w:rPr>
          <w:rFonts w:eastAsia="Calibri"/>
          <w:sz w:val="20"/>
        </w:rPr>
      </w:pPr>
      <w:r w:rsidRPr="009143DF">
        <w:rPr>
          <w:rFonts w:eastAsia="Calibri"/>
          <w:sz w:val="20"/>
        </w:rPr>
        <w:t xml:space="preserve">Albany State University </w:t>
      </w:r>
      <w:r w:rsidRPr="009143DF">
        <w:rPr>
          <w:rFonts w:eastAsia="Calibri"/>
          <w:sz w:val="20"/>
        </w:rPr>
        <w:tab/>
        <w:t>Missouri Department of Economic Development</w:t>
      </w:r>
    </w:p>
    <w:p w14:paraId="0D926B7C" w14:textId="77777777" w:rsidR="00B73D20" w:rsidRPr="009143DF" w:rsidRDefault="00B73D20" w:rsidP="00B73D20">
      <w:pPr>
        <w:tabs>
          <w:tab w:val="left" w:pos="4320"/>
          <w:tab w:val="right" w:pos="8640"/>
        </w:tabs>
        <w:spacing w:line="276" w:lineRule="auto"/>
        <w:ind w:left="720"/>
        <w:rPr>
          <w:rFonts w:eastAsia="Calibri"/>
          <w:sz w:val="20"/>
        </w:rPr>
      </w:pPr>
      <w:r w:rsidRPr="009143DF">
        <w:rPr>
          <w:rFonts w:eastAsia="Calibri"/>
          <w:sz w:val="20"/>
        </w:rPr>
        <w:t>Auburn University</w:t>
      </w:r>
      <w:r w:rsidRPr="009143DF">
        <w:rPr>
          <w:rFonts w:eastAsia="Calibri"/>
          <w:sz w:val="20"/>
        </w:rPr>
        <w:tab/>
        <w:t>California Energy Commission</w:t>
      </w:r>
    </w:p>
    <w:p w14:paraId="45323E87" w14:textId="77777777" w:rsidR="00B73D20" w:rsidRPr="009143DF" w:rsidRDefault="00B73D20" w:rsidP="00B73D20">
      <w:pPr>
        <w:tabs>
          <w:tab w:val="left" w:pos="4320"/>
          <w:tab w:val="right" w:pos="7920"/>
        </w:tabs>
        <w:spacing w:line="276" w:lineRule="auto"/>
        <w:ind w:left="720" w:right="720"/>
        <w:rPr>
          <w:rFonts w:eastAsia="Calibri"/>
          <w:sz w:val="20"/>
        </w:rPr>
      </w:pPr>
      <w:r w:rsidRPr="009143DF">
        <w:rPr>
          <w:rFonts w:eastAsia="Calibri"/>
          <w:sz w:val="20"/>
        </w:rPr>
        <w:t>Cornell University</w:t>
      </w:r>
      <w:r w:rsidRPr="009143DF">
        <w:rPr>
          <w:rFonts w:eastAsia="Calibri"/>
          <w:sz w:val="20"/>
        </w:rPr>
        <w:tab/>
        <w:t>Florida Division of Forestry</w:t>
      </w:r>
    </w:p>
    <w:p w14:paraId="339589A6" w14:textId="77777777" w:rsidR="00B73D20" w:rsidRPr="009143DF" w:rsidRDefault="00B73D20" w:rsidP="00B73D20">
      <w:pPr>
        <w:tabs>
          <w:tab w:val="left" w:pos="4320"/>
          <w:tab w:val="right" w:pos="8640"/>
        </w:tabs>
        <w:spacing w:line="276" w:lineRule="auto"/>
        <w:ind w:left="720"/>
        <w:rPr>
          <w:rFonts w:eastAsia="Calibri"/>
          <w:sz w:val="20"/>
        </w:rPr>
      </w:pPr>
      <w:r w:rsidRPr="009143DF">
        <w:rPr>
          <w:rFonts w:eastAsia="Calibri"/>
          <w:sz w:val="20"/>
        </w:rPr>
        <w:t>Duke University</w:t>
      </w:r>
      <w:r w:rsidRPr="009143DF">
        <w:rPr>
          <w:rFonts w:eastAsia="Calibri"/>
          <w:sz w:val="20"/>
        </w:rPr>
        <w:tab/>
        <w:t>Illinois Dep’t of Natural Resources</w:t>
      </w:r>
    </w:p>
    <w:p w14:paraId="0ACE7F86" w14:textId="77777777" w:rsidR="00B73D20" w:rsidRPr="009143DF" w:rsidRDefault="00B73D20" w:rsidP="00B73D20">
      <w:pPr>
        <w:tabs>
          <w:tab w:val="left" w:pos="4320"/>
          <w:tab w:val="right" w:pos="8640"/>
        </w:tabs>
        <w:spacing w:line="276" w:lineRule="auto"/>
        <w:ind w:left="720"/>
        <w:rPr>
          <w:rFonts w:eastAsia="Calibri"/>
          <w:sz w:val="20"/>
        </w:rPr>
      </w:pPr>
      <w:r w:rsidRPr="009143DF">
        <w:rPr>
          <w:rFonts w:eastAsia="Calibri"/>
          <w:sz w:val="20"/>
        </w:rPr>
        <w:t>Iowa State University</w:t>
      </w:r>
      <w:r w:rsidRPr="009143DF">
        <w:rPr>
          <w:rFonts w:eastAsia="Calibri"/>
          <w:sz w:val="20"/>
        </w:rPr>
        <w:tab/>
        <w:t>New Mexico Department of Tourism</w:t>
      </w:r>
    </w:p>
    <w:p w14:paraId="2EFEDF78" w14:textId="77777777" w:rsidR="00B73D20" w:rsidRPr="009143DF" w:rsidRDefault="00B73D20" w:rsidP="00B73D20">
      <w:pPr>
        <w:tabs>
          <w:tab w:val="left" w:pos="4320"/>
          <w:tab w:val="right" w:pos="8640"/>
        </w:tabs>
        <w:spacing w:line="276" w:lineRule="auto"/>
        <w:ind w:left="720"/>
        <w:rPr>
          <w:rFonts w:eastAsia="Calibri"/>
          <w:sz w:val="20"/>
        </w:rPr>
      </w:pPr>
      <w:r w:rsidRPr="009143DF">
        <w:rPr>
          <w:rFonts w:eastAsia="Calibri"/>
          <w:sz w:val="20"/>
        </w:rPr>
        <w:t>Michigan Tech University</w:t>
      </w:r>
      <w:r w:rsidRPr="009143DF">
        <w:rPr>
          <w:rFonts w:eastAsia="Calibri"/>
          <w:sz w:val="20"/>
        </w:rPr>
        <w:tab/>
        <w:t>South Carolina Employment Security</w:t>
      </w:r>
    </w:p>
    <w:p w14:paraId="02CFC362" w14:textId="77777777" w:rsidR="00B73D20" w:rsidRPr="009143DF" w:rsidRDefault="00B73D20" w:rsidP="00B73D20">
      <w:pPr>
        <w:tabs>
          <w:tab w:val="left" w:pos="4320"/>
          <w:tab w:val="right" w:pos="8640"/>
        </w:tabs>
        <w:spacing w:line="276" w:lineRule="auto"/>
        <w:ind w:left="720"/>
        <w:rPr>
          <w:rFonts w:eastAsia="Calibri"/>
          <w:sz w:val="20"/>
        </w:rPr>
      </w:pPr>
      <w:r w:rsidRPr="009143DF">
        <w:rPr>
          <w:rFonts w:eastAsia="Calibri"/>
          <w:sz w:val="20"/>
        </w:rPr>
        <w:t>Ohio State</w:t>
      </w:r>
      <w:r w:rsidRPr="009143DF">
        <w:rPr>
          <w:rFonts w:eastAsia="Calibri"/>
          <w:sz w:val="20"/>
        </w:rPr>
        <w:tab/>
        <w:t>Utah Department of Natural Resources</w:t>
      </w:r>
    </w:p>
    <w:p w14:paraId="77873055" w14:textId="77777777" w:rsidR="00B73D20" w:rsidRPr="009143DF" w:rsidRDefault="00B73D20" w:rsidP="00B73D20">
      <w:pPr>
        <w:tabs>
          <w:tab w:val="left" w:pos="4320"/>
          <w:tab w:val="right" w:pos="8640"/>
        </w:tabs>
        <w:spacing w:line="276" w:lineRule="auto"/>
        <w:ind w:left="720"/>
        <w:rPr>
          <w:rFonts w:eastAsia="Calibri"/>
          <w:sz w:val="20"/>
        </w:rPr>
      </w:pPr>
      <w:r w:rsidRPr="009143DF">
        <w:rPr>
          <w:rFonts w:eastAsia="Calibri"/>
          <w:sz w:val="20"/>
        </w:rPr>
        <w:t>Penn State University</w:t>
      </w:r>
      <w:r w:rsidRPr="009143DF">
        <w:rPr>
          <w:rFonts w:eastAsia="Calibri"/>
          <w:sz w:val="20"/>
        </w:rPr>
        <w:tab/>
        <w:t>Wisconsin Department of Transportation</w:t>
      </w:r>
    </w:p>
    <w:p w14:paraId="185633C1" w14:textId="77777777" w:rsidR="00B73D20" w:rsidRPr="009143DF" w:rsidRDefault="00B73D20" w:rsidP="00B73D20">
      <w:pPr>
        <w:tabs>
          <w:tab w:val="left" w:pos="4320"/>
          <w:tab w:val="right" w:pos="7920"/>
        </w:tabs>
        <w:spacing w:line="276" w:lineRule="auto"/>
        <w:ind w:left="720" w:right="720"/>
        <w:rPr>
          <w:rFonts w:eastAsia="Calibri"/>
          <w:sz w:val="20"/>
        </w:rPr>
      </w:pPr>
      <w:r w:rsidRPr="009143DF">
        <w:rPr>
          <w:rFonts w:eastAsia="Calibri"/>
          <w:sz w:val="20"/>
        </w:rPr>
        <w:t>Portland State University</w:t>
      </w:r>
    </w:p>
    <w:p w14:paraId="3E0C3BDE" w14:textId="77777777" w:rsidR="00B73D20" w:rsidRPr="009143DF" w:rsidRDefault="00B73D20" w:rsidP="00B73D20">
      <w:pPr>
        <w:tabs>
          <w:tab w:val="left" w:pos="4320"/>
          <w:tab w:val="right" w:pos="8640"/>
        </w:tabs>
        <w:spacing w:line="276" w:lineRule="auto"/>
        <w:ind w:left="720"/>
        <w:rPr>
          <w:rFonts w:eastAsia="Calibri"/>
          <w:sz w:val="20"/>
        </w:rPr>
      </w:pPr>
      <w:bookmarkStart w:id="28" w:name="_Toc291509707"/>
      <w:bookmarkStart w:id="29" w:name="_Toc476304039"/>
      <w:r w:rsidRPr="009143DF">
        <w:rPr>
          <w:rFonts w:eastAsia="Calibri"/>
          <w:sz w:val="20"/>
        </w:rPr>
        <w:t>Purdue University</w:t>
      </w:r>
      <w:r w:rsidRPr="009143DF">
        <w:rPr>
          <w:rFonts w:eastAsia="Calibri"/>
          <w:sz w:val="20"/>
        </w:rPr>
        <w:tab/>
      </w:r>
      <w:r w:rsidRPr="009143DF">
        <w:rPr>
          <w:rFonts w:eastAsia="Calibri"/>
          <w:b/>
          <w:sz w:val="20"/>
          <w:u w:val="single"/>
        </w:rPr>
        <w:t>Private Consulting Firms</w:t>
      </w:r>
      <w:bookmarkEnd w:id="28"/>
      <w:bookmarkEnd w:id="29"/>
    </w:p>
    <w:p w14:paraId="76619BCC" w14:textId="77777777" w:rsidR="00B73D20" w:rsidRPr="009143DF" w:rsidRDefault="00B73D20" w:rsidP="00B73D20">
      <w:pPr>
        <w:tabs>
          <w:tab w:val="left" w:pos="4320"/>
          <w:tab w:val="right" w:pos="7920"/>
        </w:tabs>
        <w:spacing w:line="276" w:lineRule="auto"/>
        <w:ind w:left="720" w:right="720"/>
        <w:rPr>
          <w:rFonts w:eastAsia="Calibri"/>
          <w:sz w:val="20"/>
        </w:rPr>
      </w:pPr>
      <w:r w:rsidRPr="009143DF">
        <w:rPr>
          <w:rFonts w:eastAsia="Calibri"/>
          <w:sz w:val="20"/>
        </w:rPr>
        <w:t>Stanford University</w:t>
      </w:r>
    </w:p>
    <w:p w14:paraId="19A2CD62" w14:textId="77777777" w:rsidR="00B73D20" w:rsidRPr="009143DF" w:rsidRDefault="00B73D20" w:rsidP="00B73D20">
      <w:pPr>
        <w:tabs>
          <w:tab w:val="left" w:pos="4320"/>
          <w:tab w:val="right" w:pos="7920"/>
        </w:tabs>
        <w:spacing w:line="276" w:lineRule="auto"/>
        <w:ind w:left="720" w:right="720"/>
        <w:rPr>
          <w:rFonts w:eastAsia="Calibri"/>
          <w:sz w:val="20"/>
        </w:rPr>
      </w:pPr>
      <w:r w:rsidRPr="009143DF">
        <w:rPr>
          <w:rFonts w:eastAsia="Calibri"/>
          <w:sz w:val="20"/>
        </w:rPr>
        <w:t>Texas A&amp;M University</w:t>
      </w:r>
      <w:r w:rsidRPr="009143DF">
        <w:rPr>
          <w:rFonts w:eastAsia="Calibri"/>
          <w:sz w:val="20"/>
        </w:rPr>
        <w:tab/>
        <w:t>Coopers &amp; Lybrand</w:t>
      </w:r>
    </w:p>
    <w:p w14:paraId="15ADEE36" w14:textId="77777777" w:rsidR="00B73D20" w:rsidRPr="009143DF" w:rsidRDefault="00B73D20" w:rsidP="00B73D20">
      <w:pPr>
        <w:tabs>
          <w:tab w:val="left" w:pos="4320"/>
          <w:tab w:val="right" w:pos="8640"/>
        </w:tabs>
        <w:spacing w:line="276" w:lineRule="auto"/>
        <w:ind w:left="720"/>
        <w:rPr>
          <w:rFonts w:eastAsia="Calibri"/>
          <w:sz w:val="20"/>
        </w:rPr>
      </w:pPr>
      <w:r w:rsidRPr="009143DF">
        <w:rPr>
          <w:rFonts w:eastAsia="Calibri"/>
          <w:sz w:val="20"/>
        </w:rPr>
        <w:t>University of California – Berkeley</w:t>
      </w:r>
      <w:r w:rsidRPr="009143DF">
        <w:rPr>
          <w:rFonts w:eastAsia="Calibri"/>
          <w:sz w:val="20"/>
        </w:rPr>
        <w:tab/>
        <w:t>Batelle Pacific NW Laboratories</w:t>
      </w:r>
    </w:p>
    <w:p w14:paraId="4C985DA4" w14:textId="77777777" w:rsidR="00B73D20" w:rsidRPr="009143DF" w:rsidRDefault="00B73D20" w:rsidP="00B73D20">
      <w:pPr>
        <w:tabs>
          <w:tab w:val="left" w:pos="4320"/>
          <w:tab w:val="right" w:pos="7920"/>
        </w:tabs>
        <w:spacing w:line="276" w:lineRule="auto"/>
        <w:ind w:left="720" w:right="720"/>
        <w:rPr>
          <w:rFonts w:eastAsia="Calibri"/>
          <w:sz w:val="20"/>
        </w:rPr>
      </w:pPr>
      <w:r w:rsidRPr="009143DF">
        <w:rPr>
          <w:rFonts w:eastAsia="Calibri"/>
          <w:sz w:val="20"/>
        </w:rPr>
        <w:t>University of Wisconsin</w:t>
      </w:r>
      <w:r w:rsidRPr="009143DF">
        <w:rPr>
          <w:rFonts w:eastAsia="Calibri"/>
          <w:sz w:val="20"/>
        </w:rPr>
        <w:tab/>
        <w:t>Boise Cascade Corporation</w:t>
      </w:r>
    </w:p>
    <w:p w14:paraId="0C4D361F" w14:textId="77777777" w:rsidR="00B73D20" w:rsidRPr="009143DF" w:rsidRDefault="00B73D20" w:rsidP="00B73D20">
      <w:pPr>
        <w:tabs>
          <w:tab w:val="left" w:pos="4320"/>
          <w:tab w:val="right" w:pos="7920"/>
        </w:tabs>
        <w:spacing w:line="276" w:lineRule="auto"/>
        <w:ind w:left="720" w:right="720"/>
        <w:rPr>
          <w:rFonts w:eastAsia="Calibri"/>
          <w:sz w:val="20"/>
        </w:rPr>
      </w:pPr>
      <w:r w:rsidRPr="009143DF">
        <w:rPr>
          <w:rFonts w:eastAsia="Calibri"/>
          <w:sz w:val="20"/>
        </w:rPr>
        <w:t>University of Minnesota</w:t>
      </w:r>
      <w:r w:rsidRPr="009143DF">
        <w:rPr>
          <w:rFonts w:eastAsia="Calibri"/>
          <w:sz w:val="20"/>
        </w:rPr>
        <w:tab/>
        <w:t>Charles River Associates</w:t>
      </w:r>
    </w:p>
    <w:p w14:paraId="0921F910" w14:textId="77777777" w:rsidR="00B73D20" w:rsidRPr="009143DF" w:rsidRDefault="00B73D20" w:rsidP="00B73D20">
      <w:pPr>
        <w:tabs>
          <w:tab w:val="left" w:pos="4320"/>
          <w:tab w:val="right" w:pos="7920"/>
        </w:tabs>
        <w:spacing w:line="276" w:lineRule="auto"/>
        <w:ind w:left="720" w:right="720"/>
        <w:rPr>
          <w:rFonts w:eastAsia="Calibri"/>
          <w:sz w:val="20"/>
        </w:rPr>
      </w:pPr>
      <w:r w:rsidRPr="009143DF">
        <w:rPr>
          <w:rFonts w:eastAsia="Calibri"/>
          <w:sz w:val="20"/>
        </w:rPr>
        <w:t>Virginia Tech</w:t>
      </w:r>
      <w:r w:rsidRPr="009143DF">
        <w:rPr>
          <w:rFonts w:eastAsia="Calibri"/>
          <w:sz w:val="20"/>
        </w:rPr>
        <w:tab/>
        <w:t>CIC Research</w:t>
      </w:r>
    </w:p>
    <w:p w14:paraId="775C9E52" w14:textId="77777777" w:rsidR="00B73D20" w:rsidRPr="009143DF" w:rsidRDefault="00B73D20" w:rsidP="00B73D20">
      <w:pPr>
        <w:tabs>
          <w:tab w:val="left" w:pos="4320"/>
          <w:tab w:val="left" w:pos="8640"/>
        </w:tabs>
        <w:spacing w:line="276" w:lineRule="auto"/>
        <w:ind w:left="720"/>
        <w:rPr>
          <w:rFonts w:eastAsia="Calibri"/>
          <w:sz w:val="20"/>
        </w:rPr>
      </w:pPr>
      <w:r w:rsidRPr="009143DF">
        <w:rPr>
          <w:rFonts w:eastAsia="Calibri"/>
          <w:sz w:val="20"/>
        </w:rPr>
        <w:t>West Virginia University</w:t>
      </w:r>
      <w:r w:rsidRPr="009143DF">
        <w:rPr>
          <w:rFonts w:eastAsia="Calibri"/>
          <w:sz w:val="20"/>
        </w:rPr>
        <w:tab/>
        <w:t>BTG/Delta Research Division</w:t>
      </w:r>
    </w:p>
    <w:p w14:paraId="3732A2E1" w14:textId="77777777" w:rsidR="00B73D20" w:rsidRPr="009143DF" w:rsidRDefault="00B73D20" w:rsidP="00B73D20">
      <w:pPr>
        <w:tabs>
          <w:tab w:val="left" w:pos="4320"/>
          <w:tab w:val="right" w:pos="7920"/>
        </w:tabs>
        <w:spacing w:line="276" w:lineRule="auto"/>
        <w:ind w:left="720" w:right="720"/>
        <w:rPr>
          <w:rFonts w:eastAsia="Calibri"/>
          <w:sz w:val="20"/>
        </w:rPr>
      </w:pPr>
      <w:r w:rsidRPr="009143DF">
        <w:rPr>
          <w:rFonts w:eastAsia="Calibri"/>
          <w:sz w:val="20"/>
        </w:rPr>
        <w:t>Marshall University/College of Business</w:t>
      </w:r>
      <w:r w:rsidRPr="009143DF">
        <w:rPr>
          <w:rFonts w:eastAsia="Calibri"/>
          <w:sz w:val="20"/>
        </w:rPr>
        <w:tab/>
        <w:t>Crestar Bank</w:t>
      </w:r>
    </w:p>
    <w:p w14:paraId="2C9F6B94" w14:textId="77777777" w:rsidR="00B73D20" w:rsidRPr="009143DF" w:rsidRDefault="00B73D20" w:rsidP="00B73D20">
      <w:pPr>
        <w:tabs>
          <w:tab w:val="left" w:pos="4320"/>
          <w:tab w:val="right" w:pos="7920"/>
        </w:tabs>
        <w:spacing w:line="276" w:lineRule="auto"/>
        <w:ind w:left="720" w:right="720"/>
        <w:rPr>
          <w:rFonts w:eastAsia="Calibri"/>
          <w:sz w:val="20"/>
        </w:rPr>
      </w:pPr>
      <w:r w:rsidRPr="009143DF">
        <w:rPr>
          <w:rFonts w:eastAsia="Calibri"/>
          <w:sz w:val="20"/>
        </w:rPr>
        <w:tab/>
        <w:t>Deloitte &amp; Touche</w:t>
      </w:r>
    </w:p>
    <w:p w14:paraId="7AEEDE6F" w14:textId="77777777" w:rsidR="00B73D20" w:rsidRPr="009143DF" w:rsidRDefault="00B73D20" w:rsidP="00B73D20">
      <w:pPr>
        <w:tabs>
          <w:tab w:val="left" w:pos="4320"/>
          <w:tab w:val="right" w:pos="7920"/>
        </w:tabs>
        <w:spacing w:line="276" w:lineRule="auto"/>
        <w:ind w:left="720" w:right="720"/>
        <w:rPr>
          <w:rFonts w:eastAsia="Calibri"/>
          <w:sz w:val="20"/>
        </w:rPr>
      </w:pPr>
      <w:r w:rsidRPr="009143DF">
        <w:rPr>
          <w:rFonts w:eastAsia="Calibri"/>
          <w:b/>
          <w:sz w:val="20"/>
          <w:u w:val="single"/>
        </w:rPr>
        <w:t>Federal Government Agencies</w:t>
      </w:r>
      <w:r w:rsidRPr="009143DF">
        <w:rPr>
          <w:rFonts w:eastAsia="Calibri"/>
          <w:sz w:val="20"/>
        </w:rPr>
        <w:tab/>
        <w:t>Ernst &amp; Young</w:t>
      </w:r>
    </w:p>
    <w:p w14:paraId="38D84814" w14:textId="77777777" w:rsidR="00B73D20" w:rsidRPr="009143DF" w:rsidRDefault="00B73D20" w:rsidP="00B73D20">
      <w:pPr>
        <w:tabs>
          <w:tab w:val="left" w:pos="4320"/>
          <w:tab w:val="right" w:pos="7920"/>
        </w:tabs>
        <w:spacing w:line="276" w:lineRule="auto"/>
        <w:ind w:left="720" w:right="720"/>
        <w:rPr>
          <w:rFonts w:eastAsia="Calibri"/>
          <w:sz w:val="20"/>
        </w:rPr>
      </w:pPr>
      <w:r w:rsidRPr="009143DF">
        <w:rPr>
          <w:rFonts w:eastAsia="Calibri"/>
          <w:sz w:val="20"/>
        </w:rPr>
        <w:tab/>
        <w:t>Jack Faucett Associates</w:t>
      </w:r>
    </w:p>
    <w:p w14:paraId="5C51F590" w14:textId="77777777" w:rsidR="00B73D20" w:rsidRPr="009143DF" w:rsidRDefault="00B73D20" w:rsidP="00B73D20">
      <w:pPr>
        <w:tabs>
          <w:tab w:val="left" w:pos="4320"/>
        </w:tabs>
        <w:spacing w:line="276" w:lineRule="auto"/>
        <w:ind w:left="720"/>
        <w:rPr>
          <w:rFonts w:eastAsia="Calibri"/>
          <w:sz w:val="20"/>
        </w:rPr>
      </w:pPr>
      <w:r w:rsidRPr="009143DF">
        <w:rPr>
          <w:rFonts w:eastAsia="Calibri"/>
          <w:sz w:val="20"/>
        </w:rPr>
        <w:t>Argonne National Lab</w:t>
      </w:r>
      <w:r w:rsidRPr="009143DF">
        <w:rPr>
          <w:rFonts w:eastAsia="Calibri"/>
          <w:sz w:val="20"/>
        </w:rPr>
        <w:tab/>
        <w:t>KPMG Peat Marwick</w:t>
      </w:r>
    </w:p>
    <w:p w14:paraId="4F468E65" w14:textId="77777777" w:rsidR="00B73D20" w:rsidRPr="009143DF" w:rsidRDefault="00B73D20" w:rsidP="00B73D20">
      <w:pPr>
        <w:tabs>
          <w:tab w:val="left" w:pos="4320"/>
          <w:tab w:val="right" w:pos="7920"/>
        </w:tabs>
        <w:spacing w:line="276" w:lineRule="auto"/>
        <w:ind w:left="720" w:right="720"/>
        <w:rPr>
          <w:rFonts w:eastAsia="Calibri"/>
          <w:sz w:val="20"/>
        </w:rPr>
      </w:pPr>
      <w:r w:rsidRPr="009143DF">
        <w:rPr>
          <w:rFonts w:eastAsia="Calibri"/>
          <w:sz w:val="20"/>
        </w:rPr>
        <w:t>Fed. Emergency Man. Agency (FEMA)</w:t>
      </w:r>
      <w:r w:rsidRPr="009143DF">
        <w:rPr>
          <w:rFonts w:eastAsia="Calibri"/>
          <w:sz w:val="20"/>
        </w:rPr>
        <w:tab/>
        <w:t>Price Waterhouse LLP</w:t>
      </w:r>
    </w:p>
    <w:p w14:paraId="60D1A6E9" w14:textId="77777777" w:rsidR="00B73D20" w:rsidRPr="009143DF" w:rsidRDefault="00B73D20" w:rsidP="00B73D20">
      <w:pPr>
        <w:tabs>
          <w:tab w:val="left" w:pos="4320"/>
          <w:tab w:val="right" w:pos="8640"/>
        </w:tabs>
        <w:spacing w:line="276" w:lineRule="auto"/>
        <w:ind w:left="720"/>
        <w:rPr>
          <w:rFonts w:eastAsia="Calibri"/>
          <w:sz w:val="20"/>
        </w:rPr>
      </w:pPr>
      <w:r w:rsidRPr="009143DF">
        <w:rPr>
          <w:rFonts w:eastAsia="Calibri"/>
          <w:sz w:val="20"/>
        </w:rPr>
        <w:t>US Dep’t of Agriculture, Forest Service</w:t>
      </w:r>
      <w:r w:rsidRPr="009143DF">
        <w:rPr>
          <w:rFonts w:eastAsia="Calibri"/>
          <w:sz w:val="20"/>
        </w:rPr>
        <w:tab/>
        <w:t>Sage Policy Group, Inc.</w:t>
      </w:r>
    </w:p>
    <w:p w14:paraId="65FD19E6" w14:textId="77777777" w:rsidR="00B73D20" w:rsidRPr="009143DF" w:rsidRDefault="00B73D20" w:rsidP="00B73D20">
      <w:pPr>
        <w:tabs>
          <w:tab w:val="left" w:pos="4320"/>
          <w:tab w:val="right" w:pos="8640"/>
        </w:tabs>
        <w:spacing w:line="276" w:lineRule="auto"/>
        <w:ind w:left="720"/>
        <w:rPr>
          <w:rFonts w:eastAsia="Calibri"/>
          <w:sz w:val="20"/>
        </w:rPr>
      </w:pPr>
      <w:r w:rsidRPr="009143DF">
        <w:rPr>
          <w:rFonts w:eastAsia="Calibri"/>
          <w:sz w:val="20"/>
        </w:rPr>
        <w:t>US Dep’t of Ag., Econ Research Service</w:t>
      </w:r>
      <w:r w:rsidRPr="009143DF">
        <w:rPr>
          <w:rFonts w:eastAsia="Calibri"/>
          <w:sz w:val="20"/>
        </w:rPr>
        <w:tab/>
        <w:t>Economic Research Associates</w:t>
      </w:r>
    </w:p>
    <w:p w14:paraId="39D783EB" w14:textId="77777777" w:rsidR="00B73D20" w:rsidRPr="009143DF" w:rsidRDefault="00B73D20" w:rsidP="00B73D20">
      <w:pPr>
        <w:tabs>
          <w:tab w:val="left" w:pos="4320"/>
          <w:tab w:val="right" w:pos="8640"/>
        </w:tabs>
        <w:spacing w:line="276" w:lineRule="auto"/>
        <w:ind w:left="720"/>
        <w:rPr>
          <w:rFonts w:eastAsia="Calibri"/>
          <w:sz w:val="20"/>
        </w:rPr>
      </w:pPr>
      <w:r w:rsidRPr="009143DF">
        <w:rPr>
          <w:rFonts w:eastAsia="Calibri"/>
          <w:sz w:val="20"/>
        </w:rPr>
        <w:t>US Dep’t of Int., Bureau of Land Mgmt.</w:t>
      </w:r>
      <w:r w:rsidRPr="009143DF">
        <w:rPr>
          <w:rFonts w:eastAsia="Calibri"/>
          <w:sz w:val="20"/>
        </w:rPr>
        <w:tab/>
        <w:t>American Economics Group, Inc.</w:t>
      </w:r>
    </w:p>
    <w:p w14:paraId="1BEC8F69" w14:textId="77777777" w:rsidR="00B73D20" w:rsidRPr="009143DF" w:rsidRDefault="00B73D20" w:rsidP="00B73D20">
      <w:pPr>
        <w:tabs>
          <w:tab w:val="left" w:pos="4320"/>
          <w:tab w:val="right" w:pos="7920"/>
        </w:tabs>
        <w:spacing w:line="276" w:lineRule="auto"/>
        <w:ind w:left="720" w:right="720"/>
        <w:rPr>
          <w:rFonts w:eastAsia="Calibri"/>
          <w:sz w:val="20"/>
        </w:rPr>
      </w:pPr>
      <w:r w:rsidRPr="009143DF">
        <w:rPr>
          <w:rFonts w:eastAsia="Calibri"/>
          <w:sz w:val="20"/>
        </w:rPr>
        <w:t>US Dep’t of Int., Fish and Wildlife Serv.</w:t>
      </w:r>
      <w:r w:rsidRPr="009143DF">
        <w:rPr>
          <w:rFonts w:eastAsia="Calibri"/>
          <w:sz w:val="20"/>
        </w:rPr>
        <w:tab/>
        <w:t>L.E. Peabody Associates, Inc.</w:t>
      </w:r>
    </w:p>
    <w:p w14:paraId="5D467C18" w14:textId="77777777" w:rsidR="00B73D20" w:rsidRPr="009143DF" w:rsidRDefault="00B73D20" w:rsidP="00B73D20">
      <w:pPr>
        <w:tabs>
          <w:tab w:val="left" w:pos="4320"/>
        </w:tabs>
        <w:spacing w:line="276" w:lineRule="auto"/>
        <w:ind w:left="720"/>
        <w:rPr>
          <w:rFonts w:eastAsia="Calibri"/>
          <w:sz w:val="20"/>
        </w:rPr>
      </w:pPr>
      <w:r w:rsidRPr="009143DF">
        <w:rPr>
          <w:rFonts w:eastAsia="Calibri"/>
          <w:sz w:val="20"/>
        </w:rPr>
        <w:t>US Dep’t of Int., National Parks Service</w:t>
      </w:r>
      <w:r w:rsidRPr="009143DF">
        <w:rPr>
          <w:rFonts w:eastAsia="Calibri"/>
          <w:sz w:val="20"/>
        </w:rPr>
        <w:tab/>
        <w:t>The Kalorama Consulting Group</w:t>
      </w:r>
    </w:p>
    <w:p w14:paraId="74139376" w14:textId="77777777" w:rsidR="00B73D20" w:rsidRPr="00B73D20" w:rsidRDefault="00B73D20" w:rsidP="00B73D20">
      <w:pPr>
        <w:tabs>
          <w:tab w:val="left" w:pos="4320"/>
          <w:tab w:val="right" w:pos="8640"/>
        </w:tabs>
        <w:spacing w:line="276" w:lineRule="auto"/>
        <w:ind w:left="720"/>
        <w:rPr>
          <w:rFonts w:eastAsia="Calibri"/>
          <w:sz w:val="20"/>
        </w:rPr>
      </w:pPr>
      <w:r w:rsidRPr="009143DF">
        <w:rPr>
          <w:rFonts w:eastAsia="Calibri"/>
          <w:sz w:val="20"/>
        </w:rPr>
        <w:t>US Army Corps of Engineers</w:t>
      </w:r>
      <w:r w:rsidRPr="009143DF">
        <w:rPr>
          <w:rFonts w:eastAsia="Calibri"/>
          <w:sz w:val="20"/>
        </w:rPr>
        <w:tab/>
        <w:t>West Virginia Research League</w:t>
      </w:r>
    </w:p>
    <w:sectPr w:rsidR="00B73D20" w:rsidRPr="00B73D20" w:rsidSect="003D6656">
      <w:footerReference w:type="default" r:id="rId9"/>
      <w:endnotePr>
        <w:numFmt w:val="lowerLetter"/>
      </w:endnotePr>
      <w:pgSz w:w="12240" w:h="15840"/>
      <w:pgMar w:top="1440" w:right="1800" w:bottom="1440" w:left="1800" w:header="720" w:footer="720" w:gutter="0"/>
      <w:pgBorders w:offsetFrom="page">
        <w:top w:val="single" w:sz="4" w:space="24" w:color="4F81BD"/>
        <w:left w:val="single" w:sz="4" w:space="24" w:color="4F81BD"/>
        <w:bottom w:val="single" w:sz="4" w:space="24" w:color="4F81BD"/>
        <w:right w:val="single" w:sz="4" w:space="24" w:color="4F81BD"/>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2183" w14:textId="77777777" w:rsidR="00B6700C" w:rsidRDefault="00B6700C">
      <w:r>
        <w:separator/>
      </w:r>
    </w:p>
  </w:endnote>
  <w:endnote w:type="continuationSeparator" w:id="0">
    <w:p w14:paraId="374944EE" w14:textId="77777777" w:rsidR="00B6700C" w:rsidRDefault="00B6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B72A" w14:textId="32284661" w:rsidR="00293F28" w:rsidRPr="0062771F" w:rsidRDefault="00293F28" w:rsidP="00B95653">
    <w:pPr>
      <w:pStyle w:val="Footer"/>
      <w:framePr w:wrap="around" w:vAnchor="text" w:hAnchor="page" w:x="11056" w:y="-14"/>
      <w:rPr>
        <w:rStyle w:val="PageNumber"/>
        <w:rFonts w:cs="Angsana New"/>
        <w:lang w:bidi="th-TH"/>
      </w:rPr>
    </w:pPr>
    <w:r w:rsidRPr="0062771F">
      <w:rPr>
        <w:rStyle w:val="PageNumber"/>
        <w:rFonts w:cs="Angsana New"/>
        <w:lang w:bidi="th-TH"/>
      </w:rPr>
      <w:fldChar w:fldCharType="begin"/>
    </w:r>
    <w:r w:rsidRPr="0062771F">
      <w:rPr>
        <w:rStyle w:val="PageNumber"/>
        <w:rFonts w:cs="Angsana New"/>
        <w:lang w:bidi="th-TH"/>
      </w:rPr>
      <w:instrText xml:space="preserve">PAGE  </w:instrText>
    </w:r>
    <w:r w:rsidRPr="0062771F">
      <w:rPr>
        <w:rStyle w:val="PageNumber"/>
        <w:rFonts w:cs="Angsana New"/>
        <w:lang w:bidi="th-TH"/>
      </w:rPr>
      <w:fldChar w:fldCharType="separate"/>
    </w:r>
    <w:r w:rsidR="0068728C">
      <w:rPr>
        <w:rStyle w:val="PageNumber"/>
        <w:rFonts w:cs="Angsana New"/>
        <w:noProof/>
        <w:lang w:bidi="th-TH"/>
      </w:rPr>
      <w:t>1</w:t>
    </w:r>
    <w:r w:rsidRPr="0062771F">
      <w:rPr>
        <w:rStyle w:val="PageNumber"/>
        <w:rFonts w:cs="Angsana New"/>
        <w:lang w:bidi="th-TH"/>
      </w:rPr>
      <w:fldChar w:fldCharType="end"/>
    </w:r>
  </w:p>
  <w:p w14:paraId="6042B706" w14:textId="77777777" w:rsidR="00293F28" w:rsidRPr="007B79DD" w:rsidRDefault="00293F28" w:rsidP="007B79DD">
    <w:pPr>
      <w:pStyle w:val="Footer"/>
      <w:ind w:right="-360"/>
      <w:jc w:val="right"/>
      <w:rPr>
        <w:i/>
        <w:lang w:val="en-US"/>
      </w:rPr>
    </w:pPr>
    <w:r>
      <w:rPr>
        <w:noProof/>
        <w:lang w:val="en-US" w:eastAsia="en-US"/>
      </w:rPr>
      <w:drawing>
        <wp:anchor distT="0" distB="0" distL="114300" distR="114300" simplePos="0" relativeHeight="251657728" behindDoc="1" locked="0" layoutInCell="1" allowOverlap="1" wp14:anchorId="5660C235" wp14:editId="590760E4">
          <wp:simplePos x="0" y="0"/>
          <wp:positionH relativeFrom="column">
            <wp:posOffset>-800100</wp:posOffset>
          </wp:positionH>
          <wp:positionV relativeFrom="paragraph">
            <wp:posOffset>-110490</wp:posOffset>
          </wp:positionV>
          <wp:extent cx="988695" cy="38290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i/>
        <w:lang w:val="en-US"/>
      </w:rPr>
      <w:t>The Economic Impacts of Sail Baltimore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13059" w14:textId="77777777" w:rsidR="00B6700C" w:rsidRDefault="00B6700C">
      <w:r>
        <w:separator/>
      </w:r>
    </w:p>
  </w:footnote>
  <w:footnote w:type="continuationSeparator" w:id="0">
    <w:p w14:paraId="095671DD" w14:textId="77777777" w:rsidR="00B6700C" w:rsidRDefault="00B6700C">
      <w:r>
        <w:continuationSeparator/>
      </w:r>
    </w:p>
  </w:footnote>
  <w:footnote w:id="1">
    <w:p w14:paraId="0B1CEB6A" w14:textId="77777777" w:rsidR="00293F28" w:rsidRDefault="00293F28" w:rsidP="000E065C">
      <w:pPr>
        <w:pStyle w:val="FootnoteText"/>
      </w:pPr>
      <w:r>
        <w:rPr>
          <w:rStyle w:val="FootnoteReference"/>
        </w:rPr>
        <w:footnoteRef/>
      </w:r>
      <w:r>
        <w:t xml:space="preserve"> IMPLAN is the most commonly used econometric software for analyses of its type and has emerged as the industry standard for this type of quantification.  The model is comprised of economic multipliers that reflect the statistical relationship between various local industries and the likelihood that certain goods and services will be sourced locally as opposed to outside the community.  These multipliers are updated each year and Sage purchases model licenses on an annual basis.  This study utilizes the most recent multipliers to date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6E8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679B5"/>
    <w:multiLevelType w:val="hybridMultilevel"/>
    <w:tmpl w:val="D6C28BCE"/>
    <w:lvl w:ilvl="0" w:tplc="AF7A68C8">
      <w:start w:val="1"/>
      <w:numFmt w:val="bullet"/>
      <w:lvlText w:val=""/>
      <w:lvlJc w:val="left"/>
      <w:pPr>
        <w:tabs>
          <w:tab w:val="num" w:pos="360"/>
        </w:tabs>
        <w:ind w:left="360" w:hanging="360"/>
      </w:pPr>
      <w:rPr>
        <w:rFonts w:ascii="Symbol" w:hAnsi="Symbol" w:hint="default"/>
      </w:rPr>
    </w:lvl>
    <w:lvl w:ilvl="1" w:tplc="23804D98" w:tentative="1">
      <w:start w:val="1"/>
      <w:numFmt w:val="bullet"/>
      <w:lvlText w:val="o"/>
      <w:lvlJc w:val="left"/>
      <w:pPr>
        <w:tabs>
          <w:tab w:val="num" w:pos="1080"/>
        </w:tabs>
        <w:ind w:left="1080" w:hanging="360"/>
      </w:pPr>
      <w:rPr>
        <w:rFonts w:ascii="Courier New" w:hAnsi="Courier New" w:hint="default"/>
      </w:rPr>
    </w:lvl>
    <w:lvl w:ilvl="2" w:tplc="40324EF0" w:tentative="1">
      <w:start w:val="1"/>
      <w:numFmt w:val="bullet"/>
      <w:lvlText w:val=""/>
      <w:lvlJc w:val="left"/>
      <w:pPr>
        <w:tabs>
          <w:tab w:val="num" w:pos="1800"/>
        </w:tabs>
        <w:ind w:left="1800" w:hanging="360"/>
      </w:pPr>
      <w:rPr>
        <w:rFonts w:ascii="Wingdings" w:hAnsi="Wingdings" w:hint="default"/>
      </w:rPr>
    </w:lvl>
    <w:lvl w:ilvl="3" w:tplc="AE5A51B2" w:tentative="1">
      <w:start w:val="1"/>
      <w:numFmt w:val="bullet"/>
      <w:lvlText w:val=""/>
      <w:lvlJc w:val="left"/>
      <w:pPr>
        <w:tabs>
          <w:tab w:val="num" w:pos="2520"/>
        </w:tabs>
        <w:ind w:left="2520" w:hanging="360"/>
      </w:pPr>
      <w:rPr>
        <w:rFonts w:ascii="Symbol" w:hAnsi="Symbol" w:hint="default"/>
      </w:rPr>
    </w:lvl>
    <w:lvl w:ilvl="4" w:tplc="B4CA1B06" w:tentative="1">
      <w:start w:val="1"/>
      <w:numFmt w:val="bullet"/>
      <w:lvlText w:val="o"/>
      <w:lvlJc w:val="left"/>
      <w:pPr>
        <w:tabs>
          <w:tab w:val="num" w:pos="3240"/>
        </w:tabs>
        <w:ind w:left="3240" w:hanging="360"/>
      </w:pPr>
      <w:rPr>
        <w:rFonts w:ascii="Courier New" w:hAnsi="Courier New" w:hint="default"/>
      </w:rPr>
    </w:lvl>
    <w:lvl w:ilvl="5" w:tplc="327AC16C" w:tentative="1">
      <w:start w:val="1"/>
      <w:numFmt w:val="bullet"/>
      <w:lvlText w:val=""/>
      <w:lvlJc w:val="left"/>
      <w:pPr>
        <w:tabs>
          <w:tab w:val="num" w:pos="3960"/>
        </w:tabs>
        <w:ind w:left="3960" w:hanging="360"/>
      </w:pPr>
      <w:rPr>
        <w:rFonts w:ascii="Wingdings" w:hAnsi="Wingdings" w:hint="default"/>
      </w:rPr>
    </w:lvl>
    <w:lvl w:ilvl="6" w:tplc="E67476D6" w:tentative="1">
      <w:start w:val="1"/>
      <w:numFmt w:val="bullet"/>
      <w:lvlText w:val=""/>
      <w:lvlJc w:val="left"/>
      <w:pPr>
        <w:tabs>
          <w:tab w:val="num" w:pos="4680"/>
        </w:tabs>
        <w:ind w:left="4680" w:hanging="360"/>
      </w:pPr>
      <w:rPr>
        <w:rFonts w:ascii="Symbol" w:hAnsi="Symbol" w:hint="default"/>
      </w:rPr>
    </w:lvl>
    <w:lvl w:ilvl="7" w:tplc="7F9614F4" w:tentative="1">
      <w:start w:val="1"/>
      <w:numFmt w:val="bullet"/>
      <w:lvlText w:val="o"/>
      <w:lvlJc w:val="left"/>
      <w:pPr>
        <w:tabs>
          <w:tab w:val="num" w:pos="5400"/>
        </w:tabs>
        <w:ind w:left="5400" w:hanging="360"/>
      </w:pPr>
      <w:rPr>
        <w:rFonts w:ascii="Courier New" w:hAnsi="Courier New" w:hint="default"/>
      </w:rPr>
    </w:lvl>
    <w:lvl w:ilvl="8" w:tplc="150CE31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484ADA"/>
    <w:multiLevelType w:val="hybridMultilevel"/>
    <w:tmpl w:val="D9343B6A"/>
    <w:lvl w:ilvl="0" w:tplc="9E70C304">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81E91"/>
    <w:multiLevelType w:val="hybridMultilevel"/>
    <w:tmpl w:val="1952CF50"/>
    <w:lvl w:ilvl="0" w:tplc="1830308C">
      <w:start w:val="1"/>
      <w:numFmt w:val="bullet"/>
      <w:lvlText w:val=""/>
      <w:lvlJc w:val="left"/>
      <w:pPr>
        <w:tabs>
          <w:tab w:val="num" w:pos="360"/>
        </w:tabs>
        <w:ind w:left="360" w:hanging="360"/>
      </w:pPr>
      <w:rPr>
        <w:rFonts w:ascii="Symbol" w:hAnsi="Symbol" w:hint="default"/>
      </w:rPr>
    </w:lvl>
    <w:lvl w:ilvl="1" w:tplc="E66C7E12" w:tentative="1">
      <w:start w:val="1"/>
      <w:numFmt w:val="bullet"/>
      <w:lvlText w:val="o"/>
      <w:lvlJc w:val="left"/>
      <w:pPr>
        <w:tabs>
          <w:tab w:val="num" w:pos="1080"/>
        </w:tabs>
        <w:ind w:left="1080" w:hanging="360"/>
      </w:pPr>
      <w:rPr>
        <w:rFonts w:ascii="Courier New" w:hAnsi="Courier New" w:hint="default"/>
      </w:rPr>
    </w:lvl>
    <w:lvl w:ilvl="2" w:tplc="D842017A" w:tentative="1">
      <w:start w:val="1"/>
      <w:numFmt w:val="bullet"/>
      <w:lvlText w:val=""/>
      <w:lvlJc w:val="left"/>
      <w:pPr>
        <w:tabs>
          <w:tab w:val="num" w:pos="1800"/>
        </w:tabs>
        <w:ind w:left="1800" w:hanging="360"/>
      </w:pPr>
      <w:rPr>
        <w:rFonts w:ascii="Wingdings" w:hAnsi="Wingdings" w:hint="default"/>
      </w:rPr>
    </w:lvl>
    <w:lvl w:ilvl="3" w:tplc="ED0C84EA" w:tentative="1">
      <w:start w:val="1"/>
      <w:numFmt w:val="bullet"/>
      <w:lvlText w:val=""/>
      <w:lvlJc w:val="left"/>
      <w:pPr>
        <w:tabs>
          <w:tab w:val="num" w:pos="2520"/>
        </w:tabs>
        <w:ind w:left="2520" w:hanging="360"/>
      </w:pPr>
      <w:rPr>
        <w:rFonts w:ascii="Symbol" w:hAnsi="Symbol" w:hint="default"/>
      </w:rPr>
    </w:lvl>
    <w:lvl w:ilvl="4" w:tplc="A6220722" w:tentative="1">
      <w:start w:val="1"/>
      <w:numFmt w:val="bullet"/>
      <w:lvlText w:val="o"/>
      <w:lvlJc w:val="left"/>
      <w:pPr>
        <w:tabs>
          <w:tab w:val="num" w:pos="3240"/>
        </w:tabs>
        <w:ind w:left="3240" w:hanging="360"/>
      </w:pPr>
      <w:rPr>
        <w:rFonts w:ascii="Courier New" w:hAnsi="Courier New" w:hint="default"/>
      </w:rPr>
    </w:lvl>
    <w:lvl w:ilvl="5" w:tplc="F0B4E5A4" w:tentative="1">
      <w:start w:val="1"/>
      <w:numFmt w:val="bullet"/>
      <w:lvlText w:val=""/>
      <w:lvlJc w:val="left"/>
      <w:pPr>
        <w:tabs>
          <w:tab w:val="num" w:pos="3960"/>
        </w:tabs>
        <w:ind w:left="3960" w:hanging="360"/>
      </w:pPr>
      <w:rPr>
        <w:rFonts w:ascii="Wingdings" w:hAnsi="Wingdings" w:hint="default"/>
      </w:rPr>
    </w:lvl>
    <w:lvl w:ilvl="6" w:tplc="5D1A413C" w:tentative="1">
      <w:start w:val="1"/>
      <w:numFmt w:val="bullet"/>
      <w:lvlText w:val=""/>
      <w:lvlJc w:val="left"/>
      <w:pPr>
        <w:tabs>
          <w:tab w:val="num" w:pos="4680"/>
        </w:tabs>
        <w:ind w:left="4680" w:hanging="360"/>
      </w:pPr>
      <w:rPr>
        <w:rFonts w:ascii="Symbol" w:hAnsi="Symbol" w:hint="default"/>
      </w:rPr>
    </w:lvl>
    <w:lvl w:ilvl="7" w:tplc="F294A5D6" w:tentative="1">
      <w:start w:val="1"/>
      <w:numFmt w:val="bullet"/>
      <w:lvlText w:val="o"/>
      <w:lvlJc w:val="left"/>
      <w:pPr>
        <w:tabs>
          <w:tab w:val="num" w:pos="5400"/>
        </w:tabs>
        <w:ind w:left="5400" w:hanging="360"/>
      </w:pPr>
      <w:rPr>
        <w:rFonts w:ascii="Courier New" w:hAnsi="Courier New" w:hint="default"/>
      </w:rPr>
    </w:lvl>
    <w:lvl w:ilvl="8" w:tplc="8506DBE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617334"/>
    <w:multiLevelType w:val="hybridMultilevel"/>
    <w:tmpl w:val="3AF6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B1E90"/>
    <w:multiLevelType w:val="hybridMultilevel"/>
    <w:tmpl w:val="594C1126"/>
    <w:lvl w:ilvl="0" w:tplc="0A00E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C0859"/>
    <w:multiLevelType w:val="hybridMultilevel"/>
    <w:tmpl w:val="C600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C32BD"/>
    <w:multiLevelType w:val="hybridMultilevel"/>
    <w:tmpl w:val="4F4A2894"/>
    <w:lvl w:ilvl="0" w:tplc="A5CAD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14F10"/>
    <w:multiLevelType w:val="hybridMultilevel"/>
    <w:tmpl w:val="C404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31F55"/>
    <w:multiLevelType w:val="hybridMultilevel"/>
    <w:tmpl w:val="688C24E6"/>
    <w:lvl w:ilvl="0" w:tplc="62FE45BC">
      <w:start w:val="1"/>
      <w:numFmt w:val="bullet"/>
      <w:lvlText w:val=""/>
      <w:lvlJc w:val="left"/>
      <w:pPr>
        <w:tabs>
          <w:tab w:val="num" w:pos="720"/>
        </w:tabs>
        <w:ind w:left="720" w:hanging="360"/>
      </w:pPr>
      <w:rPr>
        <w:rFonts w:ascii="Symbol" w:hAnsi="Symbol" w:hint="default"/>
      </w:rPr>
    </w:lvl>
    <w:lvl w:ilvl="1" w:tplc="B694BE58" w:tentative="1">
      <w:start w:val="1"/>
      <w:numFmt w:val="bullet"/>
      <w:lvlText w:val="o"/>
      <w:lvlJc w:val="left"/>
      <w:pPr>
        <w:tabs>
          <w:tab w:val="num" w:pos="1440"/>
        </w:tabs>
        <w:ind w:left="1440" w:hanging="360"/>
      </w:pPr>
      <w:rPr>
        <w:rFonts w:ascii="Courier New" w:hAnsi="Courier New" w:hint="default"/>
      </w:rPr>
    </w:lvl>
    <w:lvl w:ilvl="2" w:tplc="A8F40D26" w:tentative="1">
      <w:start w:val="1"/>
      <w:numFmt w:val="bullet"/>
      <w:lvlText w:val=""/>
      <w:lvlJc w:val="left"/>
      <w:pPr>
        <w:tabs>
          <w:tab w:val="num" w:pos="2160"/>
        </w:tabs>
        <w:ind w:left="2160" w:hanging="360"/>
      </w:pPr>
      <w:rPr>
        <w:rFonts w:ascii="Wingdings" w:hAnsi="Wingdings" w:hint="default"/>
      </w:rPr>
    </w:lvl>
    <w:lvl w:ilvl="3" w:tplc="D2F482C4" w:tentative="1">
      <w:start w:val="1"/>
      <w:numFmt w:val="bullet"/>
      <w:lvlText w:val=""/>
      <w:lvlJc w:val="left"/>
      <w:pPr>
        <w:tabs>
          <w:tab w:val="num" w:pos="2880"/>
        </w:tabs>
        <w:ind w:left="2880" w:hanging="360"/>
      </w:pPr>
      <w:rPr>
        <w:rFonts w:ascii="Symbol" w:hAnsi="Symbol" w:hint="default"/>
      </w:rPr>
    </w:lvl>
    <w:lvl w:ilvl="4" w:tplc="2B1E858A" w:tentative="1">
      <w:start w:val="1"/>
      <w:numFmt w:val="bullet"/>
      <w:lvlText w:val="o"/>
      <w:lvlJc w:val="left"/>
      <w:pPr>
        <w:tabs>
          <w:tab w:val="num" w:pos="3600"/>
        </w:tabs>
        <w:ind w:left="3600" w:hanging="360"/>
      </w:pPr>
      <w:rPr>
        <w:rFonts w:ascii="Courier New" w:hAnsi="Courier New" w:hint="default"/>
      </w:rPr>
    </w:lvl>
    <w:lvl w:ilvl="5" w:tplc="93521D5C" w:tentative="1">
      <w:start w:val="1"/>
      <w:numFmt w:val="bullet"/>
      <w:lvlText w:val=""/>
      <w:lvlJc w:val="left"/>
      <w:pPr>
        <w:tabs>
          <w:tab w:val="num" w:pos="4320"/>
        </w:tabs>
        <w:ind w:left="4320" w:hanging="360"/>
      </w:pPr>
      <w:rPr>
        <w:rFonts w:ascii="Wingdings" w:hAnsi="Wingdings" w:hint="default"/>
      </w:rPr>
    </w:lvl>
    <w:lvl w:ilvl="6" w:tplc="B69E6FB4" w:tentative="1">
      <w:start w:val="1"/>
      <w:numFmt w:val="bullet"/>
      <w:lvlText w:val=""/>
      <w:lvlJc w:val="left"/>
      <w:pPr>
        <w:tabs>
          <w:tab w:val="num" w:pos="5040"/>
        </w:tabs>
        <w:ind w:left="5040" w:hanging="360"/>
      </w:pPr>
      <w:rPr>
        <w:rFonts w:ascii="Symbol" w:hAnsi="Symbol" w:hint="default"/>
      </w:rPr>
    </w:lvl>
    <w:lvl w:ilvl="7" w:tplc="C67C27E0" w:tentative="1">
      <w:start w:val="1"/>
      <w:numFmt w:val="bullet"/>
      <w:lvlText w:val="o"/>
      <w:lvlJc w:val="left"/>
      <w:pPr>
        <w:tabs>
          <w:tab w:val="num" w:pos="5760"/>
        </w:tabs>
        <w:ind w:left="5760" w:hanging="360"/>
      </w:pPr>
      <w:rPr>
        <w:rFonts w:ascii="Courier New" w:hAnsi="Courier New" w:hint="default"/>
      </w:rPr>
    </w:lvl>
    <w:lvl w:ilvl="8" w:tplc="25163B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6033F1"/>
    <w:multiLevelType w:val="multilevel"/>
    <w:tmpl w:val="DD00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A34067"/>
    <w:multiLevelType w:val="hybridMultilevel"/>
    <w:tmpl w:val="FA346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15585C"/>
    <w:multiLevelType w:val="hybridMultilevel"/>
    <w:tmpl w:val="EEBAE6F8"/>
    <w:lvl w:ilvl="0" w:tplc="B3D0A706">
      <w:start w:val="1"/>
      <w:numFmt w:val="bullet"/>
      <w:lvlText w:val="o"/>
      <w:lvlJc w:val="left"/>
      <w:pPr>
        <w:tabs>
          <w:tab w:val="num" w:pos="720"/>
        </w:tabs>
        <w:ind w:left="720" w:hanging="360"/>
      </w:pPr>
      <w:rPr>
        <w:rFonts w:ascii="Courier New" w:hAnsi="Courier New" w:hint="default"/>
        <w:color w:val="auto"/>
      </w:rPr>
    </w:lvl>
    <w:lvl w:ilvl="1" w:tplc="441694F6" w:tentative="1">
      <w:start w:val="1"/>
      <w:numFmt w:val="bullet"/>
      <w:lvlText w:val="o"/>
      <w:lvlJc w:val="left"/>
      <w:pPr>
        <w:tabs>
          <w:tab w:val="num" w:pos="1440"/>
        </w:tabs>
        <w:ind w:left="1440" w:hanging="360"/>
      </w:pPr>
      <w:rPr>
        <w:rFonts w:ascii="Courier New" w:hAnsi="Courier New" w:hint="default"/>
      </w:rPr>
    </w:lvl>
    <w:lvl w:ilvl="2" w:tplc="459CC476" w:tentative="1">
      <w:start w:val="1"/>
      <w:numFmt w:val="bullet"/>
      <w:lvlText w:val=""/>
      <w:lvlJc w:val="left"/>
      <w:pPr>
        <w:tabs>
          <w:tab w:val="num" w:pos="2160"/>
        </w:tabs>
        <w:ind w:left="2160" w:hanging="360"/>
      </w:pPr>
      <w:rPr>
        <w:rFonts w:ascii="Wingdings" w:hAnsi="Wingdings" w:hint="default"/>
      </w:rPr>
    </w:lvl>
    <w:lvl w:ilvl="3" w:tplc="8CD8B5B6" w:tentative="1">
      <w:start w:val="1"/>
      <w:numFmt w:val="bullet"/>
      <w:lvlText w:val=""/>
      <w:lvlJc w:val="left"/>
      <w:pPr>
        <w:tabs>
          <w:tab w:val="num" w:pos="2880"/>
        </w:tabs>
        <w:ind w:left="2880" w:hanging="360"/>
      </w:pPr>
      <w:rPr>
        <w:rFonts w:ascii="Symbol" w:hAnsi="Symbol" w:hint="default"/>
      </w:rPr>
    </w:lvl>
    <w:lvl w:ilvl="4" w:tplc="ADFAFA58" w:tentative="1">
      <w:start w:val="1"/>
      <w:numFmt w:val="bullet"/>
      <w:lvlText w:val="o"/>
      <w:lvlJc w:val="left"/>
      <w:pPr>
        <w:tabs>
          <w:tab w:val="num" w:pos="3600"/>
        </w:tabs>
        <w:ind w:left="3600" w:hanging="360"/>
      </w:pPr>
      <w:rPr>
        <w:rFonts w:ascii="Courier New" w:hAnsi="Courier New" w:hint="default"/>
      </w:rPr>
    </w:lvl>
    <w:lvl w:ilvl="5" w:tplc="C4569452" w:tentative="1">
      <w:start w:val="1"/>
      <w:numFmt w:val="bullet"/>
      <w:lvlText w:val=""/>
      <w:lvlJc w:val="left"/>
      <w:pPr>
        <w:tabs>
          <w:tab w:val="num" w:pos="4320"/>
        </w:tabs>
        <w:ind w:left="4320" w:hanging="360"/>
      </w:pPr>
      <w:rPr>
        <w:rFonts w:ascii="Wingdings" w:hAnsi="Wingdings" w:hint="default"/>
      </w:rPr>
    </w:lvl>
    <w:lvl w:ilvl="6" w:tplc="AD148782" w:tentative="1">
      <w:start w:val="1"/>
      <w:numFmt w:val="bullet"/>
      <w:lvlText w:val=""/>
      <w:lvlJc w:val="left"/>
      <w:pPr>
        <w:tabs>
          <w:tab w:val="num" w:pos="5040"/>
        </w:tabs>
        <w:ind w:left="5040" w:hanging="360"/>
      </w:pPr>
      <w:rPr>
        <w:rFonts w:ascii="Symbol" w:hAnsi="Symbol" w:hint="default"/>
      </w:rPr>
    </w:lvl>
    <w:lvl w:ilvl="7" w:tplc="F2EC0BDC" w:tentative="1">
      <w:start w:val="1"/>
      <w:numFmt w:val="bullet"/>
      <w:lvlText w:val="o"/>
      <w:lvlJc w:val="left"/>
      <w:pPr>
        <w:tabs>
          <w:tab w:val="num" w:pos="5760"/>
        </w:tabs>
        <w:ind w:left="5760" w:hanging="360"/>
      </w:pPr>
      <w:rPr>
        <w:rFonts w:ascii="Courier New" w:hAnsi="Courier New" w:hint="default"/>
      </w:rPr>
    </w:lvl>
    <w:lvl w:ilvl="8" w:tplc="564409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668A1"/>
    <w:multiLevelType w:val="hybridMultilevel"/>
    <w:tmpl w:val="FCC49538"/>
    <w:lvl w:ilvl="0" w:tplc="3920F156">
      <w:start w:val="1"/>
      <w:numFmt w:val="bullet"/>
      <w:lvlText w:val="o"/>
      <w:lvlJc w:val="left"/>
      <w:pPr>
        <w:tabs>
          <w:tab w:val="num" w:pos="720"/>
        </w:tabs>
        <w:ind w:left="720" w:hanging="360"/>
      </w:pPr>
      <w:rPr>
        <w:rFonts w:ascii="Courier New" w:hAnsi="Courier New" w:hint="default"/>
      </w:rPr>
    </w:lvl>
    <w:lvl w:ilvl="1" w:tplc="33C4772C" w:tentative="1">
      <w:start w:val="1"/>
      <w:numFmt w:val="bullet"/>
      <w:lvlText w:val="o"/>
      <w:lvlJc w:val="left"/>
      <w:pPr>
        <w:tabs>
          <w:tab w:val="num" w:pos="1440"/>
        </w:tabs>
        <w:ind w:left="1440" w:hanging="360"/>
      </w:pPr>
      <w:rPr>
        <w:rFonts w:ascii="Courier New" w:hAnsi="Courier New" w:hint="default"/>
      </w:rPr>
    </w:lvl>
    <w:lvl w:ilvl="2" w:tplc="626AF01E" w:tentative="1">
      <w:start w:val="1"/>
      <w:numFmt w:val="bullet"/>
      <w:lvlText w:val=""/>
      <w:lvlJc w:val="left"/>
      <w:pPr>
        <w:tabs>
          <w:tab w:val="num" w:pos="2160"/>
        </w:tabs>
        <w:ind w:left="2160" w:hanging="360"/>
      </w:pPr>
      <w:rPr>
        <w:rFonts w:ascii="Wingdings" w:hAnsi="Wingdings" w:hint="default"/>
      </w:rPr>
    </w:lvl>
    <w:lvl w:ilvl="3" w:tplc="375E93DE" w:tentative="1">
      <w:start w:val="1"/>
      <w:numFmt w:val="bullet"/>
      <w:lvlText w:val=""/>
      <w:lvlJc w:val="left"/>
      <w:pPr>
        <w:tabs>
          <w:tab w:val="num" w:pos="2880"/>
        </w:tabs>
        <w:ind w:left="2880" w:hanging="360"/>
      </w:pPr>
      <w:rPr>
        <w:rFonts w:ascii="Symbol" w:hAnsi="Symbol" w:hint="default"/>
      </w:rPr>
    </w:lvl>
    <w:lvl w:ilvl="4" w:tplc="4906EA6E" w:tentative="1">
      <w:start w:val="1"/>
      <w:numFmt w:val="bullet"/>
      <w:lvlText w:val="o"/>
      <w:lvlJc w:val="left"/>
      <w:pPr>
        <w:tabs>
          <w:tab w:val="num" w:pos="3600"/>
        </w:tabs>
        <w:ind w:left="3600" w:hanging="360"/>
      </w:pPr>
      <w:rPr>
        <w:rFonts w:ascii="Courier New" w:hAnsi="Courier New" w:hint="default"/>
      </w:rPr>
    </w:lvl>
    <w:lvl w:ilvl="5" w:tplc="0D12BDBE" w:tentative="1">
      <w:start w:val="1"/>
      <w:numFmt w:val="bullet"/>
      <w:lvlText w:val=""/>
      <w:lvlJc w:val="left"/>
      <w:pPr>
        <w:tabs>
          <w:tab w:val="num" w:pos="4320"/>
        </w:tabs>
        <w:ind w:left="4320" w:hanging="360"/>
      </w:pPr>
      <w:rPr>
        <w:rFonts w:ascii="Wingdings" w:hAnsi="Wingdings" w:hint="default"/>
      </w:rPr>
    </w:lvl>
    <w:lvl w:ilvl="6" w:tplc="D22C8840" w:tentative="1">
      <w:start w:val="1"/>
      <w:numFmt w:val="bullet"/>
      <w:lvlText w:val=""/>
      <w:lvlJc w:val="left"/>
      <w:pPr>
        <w:tabs>
          <w:tab w:val="num" w:pos="5040"/>
        </w:tabs>
        <w:ind w:left="5040" w:hanging="360"/>
      </w:pPr>
      <w:rPr>
        <w:rFonts w:ascii="Symbol" w:hAnsi="Symbol" w:hint="default"/>
      </w:rPr>
    </w:lvl>
    <w:lvl w:ilvl="7" w:tplc="929E45B8" w:tentative="1">
      <w:start w:val="1"/>
      <w:numFmt w:val="bullet"/>
      <w:lvlText w:val="o"/>
      <w:lvlJc w:val="left"/>
      <w:pPr>
        <w:tabs>
          <w:tab w:val="num" w:pos="5760"/>
        </w:tabs>
        <w:ind w:left="5760" w:hanging="360"/>
      </w:pPr>
      <w:rPr>
        <w:rFonts w:ascii="Courier New" w:hAnsi="Courier New" w:hint="default"/>
      </w:rPr>
    </w:lvl>
    <w:lvl w:ilvl="8" w:tplc="2C2016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6A68F3"/>
    <w:multiLevelType w:val="hybridMultilevel"/>
    <w:tmpl w:val="10E81A98"/>
    <w:lvl w:ilvl="0" w:tplc="FE604A96">
      <w:start w:val="1"/>
      <w:numFmt w:val="bullet"/>
      <w:lvlText w:val=""/>
      <w:lvlJc w:val="left"/>
      <w:pPr>
        <w:tabs>
          <w:tab w:val="num" w:pos="720"/>
        </w:tabs>
        <w:ind w:left="720" w:hanging="360"/>
      </w:pPr>
      <w:rPr>
        <w:rFonts w:ascii="Symbol" w:hAnsi="Symbol" w:hint="default"/>
      </w:rPr>
    </w:lvl>
    <w:lvl w:ilvl="1" w:tplc="D20A3F22" w:tentative="1">
      <w:start w:val="1"/>
      <w:numFmt w:val="bullet"/>
      <w:lvlText w:val="o"/>
      <w:lvlJc w:val="left"/>
      <w:pPr>
        <w:tabs>
          <w:tab w:val="num" w:pos="1440"/>
        </w:tabs>
        <w:ind w:left="1440" w:hanging="360"/>
      </w:pPr>
      <w:rPr>
        <w:rFonts w:ascii="Courier New" w:hAnsi="Courier New" w:hint="default"/>
      </w:rPr>
    </w:lvl>
    <w:lvl w:ilvl="2" w:tplc="4E80117A" w:tentative="1">
      <w:start w:val="1"/>
      <w:numFmt w:val="bullet"/>
      <w:lvlText w:val=""/>
      <w:lvlJc w:val="left"/>
      <w:pPr>
        <w:tabs>
          <w:tab w:val="num" w:pos="2160"/>
        </w:tabs>
        <w:ind w:left="2160" w:hanging="360"/>
      </w:pPr>
      <w:rPr>
        <w:rFonts w:ascii="Wingdings" w:hAnsi="Wingdings" w:hint="default"/>
      </w:rPr>
    </w:lvl>
    <w:lvl w:ilvl="3" w:tplc="B78890E4" w:tentative="1">
      <w:start w:val="1"/>
      <w:numFmt w:val="bullet"/>
      <w:lvlText w:val=""/>
      <w:lvlJc w:val="left"/>
      <w:pPr>
        <w:tabs>
          <w:tab w:val="num" w:pos="2880"/>
        </w:tabs>
        <w:ind w:left="2880" w:hanging="360"/>
      </w:pPr>
      <w:rPr>
        <w:rFonts w:ascii="Symbol" w:hAnsi="Symbol" w:hint="default"/>
      </w:rPr>
    </w:lvl>
    <w:lvl w:ilvl="4" w:tplc="FBE07330" w:tentative="1">
      <w:start w:val="1"/>
      <w:numFmt w:val="bullet"/>
      <w:lvlText w:val="o"/>
      <w:lvlJc w:val="left"/>
      <w:pPr>
        <w:tabs>
          <w:tab w:val="num" w:pos="3600"/>
        </w:tabs>
        <w:ind w:left="3600" w:hanging="360"/>
      </w:pPr>
      <w:rPr>
        <w:rFonts w:ascii="Courier New" w:hAnsi="Courier New" w:hint="default"/>
      </w:rPr>
    </w:lvl>
    <w:lvl w:ilvl="5" w:tplc="5B5E7B2C" w:tentative="1">
      <w:start w:val="1"/>
      <w:numFmt w:val="bullet"/>
      <w:lvlText w:val=""/>
      <w:lvlJc w:val="left"/>
      <w:pPr>
        <w:tabs>
          <w:tab w:val="num" w:pos="4320"/>
        </w:tabs>
        <w:ind w:left="4320" w:hanging="360"/>
      </w:pPr>
      <w:rPr>
        <w:rFonts w:ascii="Wingdings" w:hAnsi="Wingdings" w:hint="default"/>
      </w:rPr>
    </w:lvl>
    <w:lvl w:ilvl="6" w:tplc="D40C48CC" w:tentative="1">
      <w:start w:val="1"/>
      <w:numFmt w:val="bullet"/>
      <w:lvlText w:val=""/>
      <w:lvlJc w:val="left"/>
      <w:pPr>
        <w:tabs>
          <w:tab w:val="num" w:pos="5040"/>
        </w:tabs>
        <w:ind w:left="5040" w:hanging="360"/>
      </w:pPr>
      <w:rPr>
        <w:rFonts w:ascii="Symbol" w:hAnsi="Symbol" w:hint="default"/>
      </w:rPr>
    </w:lvl>
    <w:lvl w:ilvl="7" w:tplc="2EDC3C6C" w:tentative="1">
      <w:start w:val="1"/>
      <w:numFmt w:val="bullet"/>
      <w:lvlText w:val="o"/>
      <w:lvlJc w:val="left"/>
      <w:pPr>
        <w:tabs>
          <w:tab w:val="num" w:pos="5760"/>
        </w:tabs>
        <w:ind w:left="5760" w:hanging="360"/>
      </w:pPr>
      <w:rPr>
        <w:rFonts w:ascii="Courier New" w:hAnsi="Courier New" w:hint="default"/>
      </w:rPr>
    </w:lvl>
    <w:lvl w:ilvl="8" w:tplc="4D8E9A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EF3917"/>
    <w:multiLevelType w:val="hybridMultilevel"/>
    <w:tmpl w:val="C20E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A4980"/>
    <w:multiLevelType w:val="hybridMultilevel"/>
    <w:tmpl w:val="FD1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12"/>
  </w:num>
  <w:num w:numId="5">
    <w:abstractNumId w:val="1"/>
  </w:num>
  <w:num w:numId="6">
    <w:abstractNumId w:val="14"/>
  </w:num>
  <w:num w:numId="7">
    <w:abstractNumId w:val="10"/>
  </w:num>
  <w:num w:numId="8">
    <w:abstractNumId w:val="15"/>
  </w:num>
  <w:num w:numId="9">
    <w:abstractNumId w:val="8"/>
  </w:num>
  <w:num w:numId="10">
    <w:abstractNumId w:val="11"/>
  </w:num>
  <w:num w:numId="11">
    <w:abstractNumId w:val="5"/>
  </w:num>
  <w:num w:numId="12">
    <w:abstractNumId w:val="0"/>
  </w:num>
  <w:num w:numId="13">
    <w:abstractNumId w:val="6"/>
  </w:num>
  <w:num w:numId="14">
    <w:abstractNumId w:val="7"/>
  </w:num>
  <w:num w:numId="15">
    <w:abstractNumId w:val="1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01F5E0-573E-46B8-B304-B2BB001F3C9B}"/>
    <w:docVar w:name="dgnword-eventsink" w:val="33438944"/>
  </w:docVars>
  <w:rsids>
    <w:rsidRoot w:val="00A30AB8"/>
    <w:rsid w:val="0000033E"/>
    <w:rsid w:val="00000583"/>
    <w:rsid w:val="00001FAF"/>
    <w:rsid w:val="00002DDB"/>
    <w:rsid w:val="000115A2"/>
    <w:rsid w:val="0001196A"/>
    <w:rsid w:val="00014B1D"/>
    <w:rsid w:val="0002069D"/>
    <w:rsid w:val="00021727"/>
    <w:rsid w:val="00022FF4"/>
    <w:rsid w:val="00023A6D"/>
    <w:rsid w:val="000248DC"/>
    <w:rsid w:val="00026CEF"/>
    <w:rsid w:val="00027099"/>
    <w:rsid w:val="00035D86"/>
    <w:rsid w:val="0003646C"/>
    <w:rsid w:val="000376A4"/>
    <w:rsid w:val="00042199"/>
    <w:rsid w:val="000510A2"/>
    <w:rsid w:val="0005561E"/>
    <w:rsid w:val="00057956"/>
    <w:rsid w:val="00062AA6"/>
    <w:rsid w:val="00065CC0"/>
    <w:rsid w:val="000701BA"/>
    <w:rsid w:val="00076863"/>
    <w:rsid w:val="000778DD"/>
    <w:rsid w:val="00077C76"/>
    <w:rsid w:val="00084CB7"/>
    <w:rsid w:val="00085082"/>
    <w:rsid w:val="0008581D"/>
    <w:rsid w:val="00086877"/>
    <w:rsid w:val="00091605"/>
    <w:rsid w:val="000920E9"/>
    <w:rsid w:val="00093F73"/>
    <w:rsid w:val="000947A7"/>
    <w:rsid w:val="00095E15"/>
    <w:rsid w:val="000A33D4"/>
    <w:rsid w:val="000A6662"/>
    <w:rsid w:val="000B18C5"/>
    <w:rsid w:val="000B2338"/>
    <w:rsid w:val="000B514A"/>
    <w:rsid w:val="000C0B3D"/>
    <w:rsid w:val="000C0E6A"/>
    <w:rsid w:val="000C263B"/>
    <w:rsid w:val="000C2B33"/>
    <w:rsid w:val="000C317C"/>
    <w:rsid w:val="000C3B72"/>
    <w:rsid w:val="000C4514"/>
    <w:rsid w:val="000C7B34"/>
    <w:rsid w:val="000D0AE1"/>
    <w:rsid w:val="000D10AC"/>
    <w:rsid w:val="000D1628"/>
    <w:rsid w:val="000D21EC"/>
    <w:rsid w:val="000D6B2F"/>
    <w:rsid w:val="000E065C"/>
    <w:rsid w:val="000E110E"/>
    <w:rsid w:val="000E16BE"/>
    <w:rsid w:val="000E2938"/>
    <w:rsid w:val="000E35D1"/>
    <w:rsid w:val="000E6547"/>
    <w:rsid w:val="000F4DDE"/>
    <w:rsid w:val="000F5545"/>
    <w:rsid w:val="000F732A"/>
    <w:rsid w:val="00100C35"/>
    <w:rsid w:val="00103090"/>
    <w:rsid w:val="0010481D"/>
    <w:rsid w:val="001054E3"/>
    <w:rsid w:val="001124D9"/>
    <w:rsid w:val="001126E6"/>
    <w:rsid w:val="00115FA3"/>
    <w:rsid w:val="00126D58"/>
    <w:rsid w:val="00130193"/>
    <w:rsid w:val="00132F43"/>
    <w:rsid w:val="00137182"/>
    <w:rsid w:val="00137D69"/>
    <w:rsid w:val="00137F88"/>
    <w:rsid w:val="00140F7F"/>
    <w:rsid w:val="001410D2"/>
    <w:rsid w:val="001410F3"/>
    <w:rsid w:val="0014166D"/>
    <w:rsid w:val="00142194"/>
    <w:rsid w:val="001438C0"/>
    <w:rsid w:val="00144CA8"/>
    <w:rsid w:val="00146E42"/>
    <w:rsid w:val="001602BC"/>
    <w:rsid w:val="0016693E"/>
    <w:rsid w:val="001718F4"/>
    <w:rsid w:val="001718FD"/>
    <w:rsid w:val="001735EC"/>
    <w:rsid w:val="001748E2"/>
    <w:rsid w:val="00176C16"/>
    <w:rsid w:val="00177FEA"/>
    <w:rsid w:val="00181546"/>
    <w:rsid w:val="00181C41"/>
    <w:rsid w:val="00181D0E"/>
    <w:rsid w:val="0018360F"/>
    <w:rsid w:val="00184C6B"/>
    <w:rsid w:val="0018562A"/>
    <w:rsid w:val="0018651A"/>
    <w:rsid w:val="00192DF0"/>
    <w:rsid w:val="0019356A"/>
    <w:rsid w:val="00193662"/>
    <w:rsid w:val="001969D5"/>
    <w:rsid w:val="001A0841"/>
    <w:rsid w:val="001A16BA"/>
    <w:rsid w:val="001A2AB4"/>
    <w:rsid w:val="001A52B2"/>
    <w:rsid w:val="001B2C94"/>
    <w:rsid w:val="001B396B"/>
    <w:rsid w:val="001B4682"/>
    <w:rsid w:val="001C42B3"/>
    <w:rsid w:val="001D0F3A"/>
    <w:rsid w:val="001D16D7"/>
    <w:rsid w:val="001D2D69"/>
    <w:rsid w:val="001D7636"/>
    <w:rsid w:val="001E5CEF"/>
    <w:rsid w:val="001E6350"/>
    <w:rsid w:val="001E6C3A"/>
    <w:rsid w:val="001F05A2"/>
    <w:rsid w:val="001F0647"/>
    <w:rsid w:val="001F1418"/>
    <w:rsid w:val="001F4931"/>
    <w:rsid w:val="001F5867"/>
    <w:rsid w:val="001F7200"/>
    <w:rsid w:val="002016D0"/>
    <w:rsid w:val="002029CF"/>
    <w:rsid w:val="0020417A"/>
    <w:rsid w:val="00205653"/>
    <w:rsid w:val="002106B2"/>
    <w:rsid w:val="002111C2"/>
    <w:rsid w:val="00213975"/>
    <w:rsid w:val="00214955"/>
    <w:rsid w:val="00214E51"/>
    <w:rsid w:val="00217F80"/>
    <w:rsid w:val="00222EE4"/>
    <w:rsid w:val="002230D7"/>
    <w:rsid w:val="002231D9"/>
    <w:rsid w:val="0022326D"/>
    <w:rsid w:val="002247D0"/>
    <w:rsid w:val="00224942"/>
    <w:rsid w:val="00225539"/>
    <w:rsid w:val="00225961"/>
    <w:rsid w:val="00230248"/>
    <w:rsid w:val="00232F5D"/>
    <w:rsid w:val="002339F0"/>
    <w:rsid w:val="00233EAC"/>
    <w:rsid w:val="002351BB"/>
    <w:rsid w:val="00236543"/>
    <w:rsid w:val="00236D53"/>
    <w:rsid w:val="0024043A"/>
    <w:rsid w:val="00242BE4"/>
    <w:rsid w:val="00245E2B"/>
    <w:rsid w:val="002521C3"/>
    <w:rsid w:val="00255E0D"/>
    <w:rsid w:val="0026039B"/>
    <w:rsid w:val="00260563"/>
    <w:rsid w:val="002621E6"/>
    <w:rsid w:val="00262FD6"/>
    <w:rsid w:val="002639F1"/>
    <w:rsid w:val="00263A0B"/>
    <w:rsid w:val="00265C9F"/>
    <w:rsid w:val="00266145"/>
    <w:rsid w:val="0026763C"/>
    <w:rsid w:val="00271B2C"/>
    <w:rsid w:val="00273ABF"/>
    <w:rsid w:val="00280863"/>
    <w:rsid w:val="002809E6"/>
    <w:rsid w:val="0028290E"/>
    <w:rsid w:val="00283731"/>
    <w:rsid w:val="0028593E"/>
    <w:rsid w:val="00286943"/>
    <w:rsid w:val="0029093B"/>
    <w:rsid w:val="00293F28"/>
    <w:rsid w:val="002941FF"/>
    <w:rsid w:val="0029427E"/>
    <w:rsid w:val="002944A2"/>
    <w:rsid w:val="002A19FE"/>
    <w:rsid w:val="002A2719"/>
    <w:rsid w:val="002A2CE2"/>
    <w:rsid w:val="002A3750"/>
    <w:rsid w:val="002A5A73"/>
    <w:rsid w:val="002A631E"/>
    <w:rsid w:val="002A69F0"/>
    <w:rsid w:val="002B031D"/>
    <w:rsid w:val="002B3156"/>
    <w:rsid w:val="002B5402"/>
    <w:rsid w:val="002B5885"/>
    <w:rsid w:val="002B6181"/>
    <w:rsid w:val="002B6957"/>
    <w:rsid w:val="002B7A58"/>
    <w:rsid w:val="002C3A39"/>
    <w:rsid w:val="002C3C16"/>
    <w:rsid w:val="002C42F0"/>
    <w:rsid w:val="002C661E"/>
    <w:rsid w:val="002D15DA"/>
    <w:rsid w:val="002D1CC7"/>
    <w:rsid w:val="002D550A"/>
    <w:rsid w:val="002D6C36"/>
    <w:rsid w:val="002E15FC"/>
    <w:rsid w:val="002E484E"/>
    <w:rsid w:val="002E4F76"/>
    <w:rsid w:val="002F73B7"/>
    <w:rsid w:val="003011C5"/>
    <w:rsid w:val="00302A4F"/>
    <w:rsid w:val="00302E5E"/>
    <w:rsid w:val="00304962"/>
    <w:rsid w:val="00305C9E"/>
    <w:rsid w:val="003139F0"/>
    <w:rsid w:val="00317549"/>
    <w:rsid w:val="003215BB"/>
    <w:rsid w:val="003219D9"/>
    <w:rsid w:val="00327473"/>
    <w:rsid w:val="00334053"/>
    <w:rsid w:val="003341B1"/>
    <w:rsid w:val="003343E7"/>
    <w:rsid w:val="003349FD"/>
    <w:rsid w:val="00335C4D"/>
    <w:rsid w:val="00335EB0"/>
    <w:rsid w:val="003400B9"/>
    <w:rsid w:val="00340153"/>
    <w:rsid w:val="00341183"/>
    <w:rsid w:val="00343695"/>
    <w:rsid w:val="003448CF"/>
    <w:rsid w:val="00347881"/>
    <w:rsid w:val="0035061F"/>
    <w:rsid w:val="003508C8"/>
    <w:rsid w:val="00350DA4"/>
    <w:rsid w:val="00350F0F"/>
    <w:rsid w:val="0035380E"/>
    <w:rsid w:val="003559D6"/>
    <w:rsid w:val="00355DF7"/>
    <w:rsid w:val="00356C5C"/>
    <w:rsid w:val="00356C89"/>
    <w:rsid w:val="003611E9"/>
    <w:rsid w:val="00364DCF"/>
    <w:rsid w:val="00366468"/>
    <w:rsid w:val="0036775E"/>
    <w:rsid w:val="00370428"/>
    <w:rsid w:val="00371587"/>
    <w:rsid w:val="003754E0"/>
    <w:rsid w:val="00376208"/>
    <w:rsid w:val="0038107C"/>
    <w:rsid w:val="003810FC"/>
    <w:rsid w:val="00384216"/>
    <w:rsid w:val="003853C8"/>
    <w:rsid w:val="00386ACB"/>
    <w:rsid w:val="00387810"/>
    <w:rsid w:val="00387D8A"/>
    <w:rsid w:val="00390C52"/>
    <w:rsid w:val="00393971"/>
    <w:rsid w:val="0039463E"/>
    <w:rsid w:val="003950FE"/>
    <w:rsid w:val="003957D2"/>
    <w:rsid w:val="00397463"/>
    <w:rsid w:val="003A090D"/>
    <w:rsid w:val="003A2ACF"/>
    <w:rsid w:val="003A7C65"/>
    <w:rsid w:val="003B258A"/>
    <w:rsid w:val="003B2F9D"/>
    <w:rsid w:val="003B6813"/>
    <w:rsid w:val="003B6BF9"/>
    <w:rsid w:val="003B73D7"/>
    <w:rsid w:val="003B7F6B"/>
    <w:rsid w:val="003C0B8D"/>
    <w:rsid w:val="003C3DC0"/>
    <w:rsid w:val="003C4012"/>
    <w:rsid w:val="003C498C"/>
    <w:rsid w:val="003D0F6D"/>
    <w:rsid w:val="003D1A41"/>
    <w:rsid w:val="003D24DB"/>
    <w:rsid w:val="003D334B"/>
    <w:rsid w:val="003D354E"/>
    <w:rsid w:val="003D4FB8"/>
    <w:rsid w:val="003D6656"/>
    <w:rsid w:val="003E0255"/>
    <w:rsid w:val="003E2A9A"/>
    <w:rsid w:val="003E4383"/>
    <w:rsid w:val="003E4979"/>
    <w:rsid w:val="003E5C03"/>
    <w:rsid w:val="003E5F04"/>
    <w:rsid w:val="003F0BCE"/>
    <w:rsid w:val="003F1CE9"/>
    <w:rsid w:val="003F3951"/>
    <w:rsid w:val="003F3DFC"/>
    <w:rsid w:val="003F6524"/>
    <w:rsid w:val="004017B8"/>
    <w:rsid w:val="0040190D"/>
    <w:rsid w:val="0040395F"/>
    <w:rsid w:val="00404AE6"/>
    <w:rsid w:val="00413EF7"/>
    <w:rsid w:val="0042043D"/>
    <w:rsid w:val="004263F7"/>
    <w:rsid w:val="00431FB0"/>
    <w:rsid w:val="0043263A"/>
    <w:rsid w:val="00432690"/>
    <w:rsid w:val="00432A7D"/>
    <w:rsid w:val="00432CCB"/>
    <w:rsid w:val="00434E49"/>
    <w:rsid w:val="00441A5A"/>
    <w:rsid w:val="00442685"/>
    <w:rsid w:val="004427EB"/>
    <w:rsid w:val="0044474B"/>
    <w:rsid w:val="00446BC7"/>
    <w:rsid w:val="00451172"/>
    <w:rsid w:val="0045248B"/>
    <w:rsid w:val="00455DC0"/>
    <w:rsid w:val="00456810"/>
    <w:rsid w:val="0045757F"/>
    <w:rsid w:val="004628CB"/>
    <w:rsid w:val="00463098"/>
    <w:rsid w:val="00467588"/>
    <w:rsid w:val="004718B0"/>
    <w:rsid w:val="00472EE3"/>
    <w:rsid w:val="00473E18"/>
    <w:rsid w:val="004742C6"/>
    <w:rsid w:val="004746A5"/>
    <w:rsid w:val="00481EBB"/>
    <w:rsid w:val="00484BAD"/>
    <w:rsid w:val="00487FA0"/>
    <w:rsid w:val="00491B02"/>
    <w:rsid w:val="004926FA"/>
    <w:rsid w:val="0049686E"/>
    <w:rsid w:val="0049766E"/>
    <w:rsid w:val="004A0F2C"/>
    <w:rsid w:val="004A1D64"/>
    <w:rsid w:val="004A481C"/>
    <w:rsid w:val="004A559E"/>
    <w:rsid w:val="004A768C"/>
    <w:rsid w:val="004A7C76"/>
    <w:rsid w:val="004A7E64"/>
    <w:rsid w:val="004B0415"/>
    <w:rsid w:val="004B1C73"/>
    <w:rsid w:val="004B235B"/>
    <w:rsid w:val="004B4284"/>
    <w:rsid w:val="004B4450"/>
    <w:rsid w:val="004B530A"/>
    <w:rsid w:val="004B7611"/>
    <w:rsid w:val="004B7CD3"/>
    <w:rsid w:val="004C474B"/>
    <w:rsid w:val="004C553C"/>
    <w:rsid w:val="004C617C"/>
    <w:rsid w:val="004C7586"/>
    <w:rsid w:val="004D0601"/>
    <w:rsid w:val="004D1924"/>
    <w:rsid w:val="004D4A86"/>
    <w:rsid w:val="004D4FB7"/>
    <w:rsid w:val="004D621B"/>
    <w:rsid w:val="004D75C2"/>
    <w:rsid w:val="004E2201"/>
    <w:rsid w:val="004E2DE6"/>
    <w:rsid w:val="004E605D"/>
    <w:rsid w:val="004F0601"/>
    <w:rsid w:val="004F1FE8"/>
    <w:rsid w:val="004F3D87"/>
    <w:rsid w:val="004F6987"/>
    <w:rsid w:val="00505B54"/>
    <w:rsid w:val="00510938"/>
    <w:rsid w:val="00512B36"/>
    <w:rsid w:val="005131A7"/>
    <w:rsid w:val="00513775"/>
    <w:rsid w:val="00520A30"/>
    <w:rsid w:val="00521596"/>
    <w:rsid w:val="00521F2A"/>
    <w:rsid w:val="00522073"/>
    <w:rsid w:val="00522831"/>
    <w:rsid w:val="00523B35"/>
    <w:rsid w:val="0052436C"/>
    <w:rsid w:val="00526EFD"/>
    <w:rsid w:val="00530D68"/>
    <w:rsid w:val="00531A82"/>
    <w:rsid w:val="00533212"/>
    <w:rsid w:val="00533AFC"/>
    <w:rsid w:val="005360FA"/>
    <w:rsid w:val="00536DE0"/>
    <w:rsid w:val="00537606"/>
    <w:rsid w:val="00540139"/>
    <w:rsid w:val="00542534"/>
    <w:rsid w:val="00542EEF"/>
    <w:rsid w:val="00547399"/>
    <w:rsid w:val="00550023"/>
    <w:rsid w:val="00550264"/>
    <w:rsid w:val="00550603"/>
    <w:rsid w:val="005519CF"/>
    <w:rsid w:val="00554B69"/>
    <w:rsid w:val="005550C0"/>
    <w:rsid w:val="00556594"/>
    <w:rsid w:val="005573CF"/>
    <w:rsid w:val="00560D1E"/>
    <w:rsid w:val="00561A3E"/>
    <w:rsid w:val="0056319B"/>
    <w:rsid w:val="00564711"/>
    <w:rsid w:val="0056492C"/>
    <w:rsid w:val="005650CF"/>
    <w:rsid w:val="005724F5"/>
    <w:rsid w:val="00572B8C"/>
    <w:rsid w:val="005744CD"/>
    <w:rsid w:val="00574BE2"/>
    <w:rsid w:val="00574D5B"/>
    <w:rsid w:val="00575E8E"/>
    <w:rsid w:val="00575FC7"/>
    <w:rsid w:val="00582748"/>
    <w:rsid w:val="00583401"/>
    <w:rsid w:val="00583CC8"/>
    <w:rsid w:val="00585CB8"/>
    <w:rsid w:val="0058713C"/>
    <w:rsid w:val="00590A5F"/>
    <w:rsid w:val="00593776"/>
    <w:rsid w:val="0059624F"/>
    <w:rsid w:val="0059787D"/>
    <w:rsid w:val="005978DB"/>
    <w:rsid w:val="00597FA4"/>
    <w:rsid w:val="005A3733"/>
    <w:rsid w:val="005A3760"/>
    <w:rsid w:val="005A55CD"/>
    <w:rsid w:val="005A6701"/>
    <w:rsid w:val="005A6937"/>
    <w:rsid w:val="005B0CDB"/>
    <w:rsid w:val="005B26D4"/>
    <w:rsid w:val="005B381A"/>
    <w:rsid w:val="005B5018"/>
    <w:rsid w:val="005B5B6D"/>
    <w:rsid w:val="005B6504"/>
    <w:rsid w:val="005C15D4"/>
    <w:rsid w:val="005C1D26"/>
    <w:rsid w:val="005C7FED"/>
    <w:rsid w:val="005D0E6D"/>
    <w:rsid w:val="005D208D"/>
    <w:rsid w:val="005D438C"/>
    <w:rsid w:val="005D587A"/>
    <w:rsid w:val="005E0509"/>
    <w:rsid w:val="005E1214"/>
    <w:rsid w:val="005E13F7"/>
    <w:rsid w:val="005E2371"/>
    <w:rsid w:val="005E360F"/>
    <w:rsid w:val="005E5892"/>
    <w:rsid w:val="005F17DF"/>
    <w:rsid w:val="005F218D"/>
    <w:rsid w:val="005F49F2"/>
    <w:rsid w:val="005F4E30"/>
    <w:rsid w:val="00601022"/>
    <w:rsid w:val="00601881"/>
    <w:rsid w:val="006033C7"/>
    <w:rsid w:val="006037F2"/>
    <w:rsid w:val="00604088"/>
    <w:rsid w:val="006062A6"/>
    <w:rsid w:val="00610579"/>
    <w:rsid w:val="00613AD4"/>
    <w:rsid w:val="00615966"/>
    <w:rsid w:val="00615C15"/>
    <w:rsid w:val="00615DAA"/>
    <w:rsid w:val="00617875"/>
    <w:rsid w:val="00624D4E"/>
    <w:rsid w:val="0062771F"/>
    <w:rsid w:val="00627D69"/>
    <w:rsid w:val="00634071"/>
    <w:rsid w:val="00634D62"/>
    <w:rsid w:val="00637198"/>
    <w:rsid w:val="00642167"/>
    <w:rsid w:val="00647E35"/>
    <w:rsid w:val="00647FD3"/>
    <w:rsid w:val="006511C3"/>
    <w:rsid w:val="00653410"/>
    <w:rsid w:val="0065689B"/>
    <w:rsid w:val="00657875"/>
    <w:rsid w:val="00661DAF"/>
    <w:rsid w:val="006625C5"/>
    <w:rsid w:val="00662F39"/>
    <w:rsid w:val="00664D31"/>
    <w:rsid w:val="00670814"/>
    <w:rsid w:val="0067154A"/>
    <w:rsid w:val="00675884"/>
    <w:rsid w:val="00675FD7"/>
    <w:rsid w:val="006769C1"/>
    <w:rsid w:val="00676D80"/>
    <w:rsid w:val="00680941"/>
    <w:rsid w:val="0068728C"/>
    <w:rsid w:val="00687593"/>
    <w:rsid w:val="0068779F"/>
    <w:rsid w:val="00690EAE"/>
    <w:rsid w:val="00691C83"/>
    <w:rsid w:val="0069332D"/>
    <w:rsid w:val="00695E32"/>
    <w:rsid w:val="00696537"/>
    <w:rsid w:val="00696B61"/>
    <w:rsid w:val="006A13EC"/>
    <w:rsid w:val="006A1997"/>
    <w:rsid w:val="006B0C68"/>
    <w:rsid w:val="006B3A64"/>
    <w:rsid w:val="006B5832"/>
    <w:rsid w:val="006B609B"/>
    <w:rsid w:val="006B62DE"/>
    <w:rsid w:val="006B75EB"/>
    <w:rsid w:val="006C2732"/>
    <w:rsid w:val="006C3C5F"/>
    <w:rsid w:val="006C4BCB"/>
    <w:rsid w:val="006C6F47"/>
    <w:rsid w:val="006D0C83"/>
    <w:rsid w:val="006D1529"/>
    <w:rsid w:val="006D310E"/>
    <w:rsid w:val="006D6354"/>
    <w:rsid w:val="006D6E4A"/>
    <w:rsid w:val="006E50DC"/>
    <w:rsid w:val="006E53E5"/>
    <w:rsid w:val="006F1E8B"/>
    <w:rsid w:val="006F2323"/>
    <w:rsid w:val="006F3225"/>
    <w:rsid w:val="006F440C"/>
    <w:rsid w:val="006F49B4"/>
    <w:rsid w:val="00700911"/>
    <w:rsid w:val="00700CAC"/>
    <w:rsid w:val="0070125D"/>
    <w:rsid w:val="00702AE0"/>
    <w:rsid w:val="00704114"/>
    <w:rsid w:val="00704343"/>
    <w:rsid w:val="00705EE4"/>
    <w:rsid w:val="00707929"/>
    <w:rsid w:val="00711199"/>
    <w:rsid w:val="00711461"/>
    <w:rsid w:val="007120BD"/>
    <w:rsid w:val="007140EF"/>
    <w:rsid w:val="00715D62"/>
    <w:rsid w:val="00716227"/>
    <w:rsid w:val="00717B0B"/>
    <w:rsid w:val="00722242"/>
    <w:rsid w:val="007231F2"/>
    <w:rsid w:val="0072676D"/>
    <w:rsid w:val="00726BDC"/>
    <w:rsid w:val="00734234"/>
    <w:rsid w:val="00737DC2"/>
    <w:rsid w:val="00745235"/>
    <w:rsid w:val="00754B1C"/>
    <w:rsid w:val="007553D1"/>
    <w:rsid w:val="00756BDD"/>
    <w:rsid w:val="00756EB3"/>
    <w:rsid w:val="00757704"/>
    <w:rsid w:val="007610DB"/>
    <w:rsid w:val="007619D0"/>
    <w:rsid w:val="007627BF"/>
    <w:rsid w:val="0076281C"/>
    <w:rsid w:val="00764CC7"/>
    <w:rsid w:val="0076596E"/>
    <w:rsid w:val="0077108A"/>
    <w:rsid w:val="00773DA5"/>
    <w:rsid w:val="0077489F"/>
    <w:rsid w:val="00776087"/>
    <w:rsid w:val="00776455"/>
    <w:rsid w:val="00776EDC"/>
    <w:rsid w:val="00777924"/>
    <w:rsid w:val="007779C7"/>
    <w:rsid w:val="0078011F"/>
    <w:rsid w:val="00781259"/>
    <w:rsid w:val="00783651"/>
    <w:rsid w:val="00783B6A"/>
    <w:rsid w:val="00783B9D"/>
    <w:rsid w:val="0078441B"/>
    <w:rsid w:val="00784C1E"/>
    <w:rsid w:val="007872B6"/>
    <w:rsid w:val="007903AF"/>
    <w:rsid w:val="00790612"/>
    <w:rsid w:val="00793563"/>
    <w:rsid w:val="00793F6B"/>
    <w:rsid w:val="00796964"/>
    <w:rsid w:val="007A11DC"/>
    <w:rsid w:val="007A348F"/>
    <w:rsid w:val="007A4FCF"/>
    <w:rsid w:val="007A5593"/>
    <w:rsid w:val="007B023A"/>
    <w:rsid w:val="007B2375"/>
    <w:rsid w:val="007B313B"/>
    <w:rsid w:val="007B3BCA"/>
    <w:rsid w:val="007B6393"/>
    <w:rsid w:val="007B79DD"/>
    <w:rsid w:val="007C2BAC"/>
    <w:rsid w:val="007C3252"/>
    <w:rsid w:val="007C4787"/>
    <w:rsid w:val="007C4CD1"/>
    <w:rsid w:val="007C6E23"/>
    <w:rsid w:val="007C709B"/>
    <w:rsid w:val="007C7C5A"/>
    <w:rsid w:val="007D0816"/>
    <w:rsid w:val="007D2563"/>
    <w:rsid w:val="007D3FE0"/>
    <w:rsid w:val="007D6DC3"/>
    <w:rsid w:val="007D72FD"/>
    <w:rsid w:val="007D7F5F"/>
    <w:rsid w:val="007E2D8C"/>
    <w:rsid w:val="007E3AB8"/>
    <w:rsid w:val="007E760C"/>
    <w:rsid w:val="007E7ECB"/>
    <w:rsid w:val="007F0E51"/>
    <w:rsid w:val="007F1D23"/>
    <w:rsid w:val="007F4871"/>
    <w:rsid w:val="007F5C52"/>
    <w:rsid w:val="007F651C"/>
    <w:rsid w:val="008003EC"/>
    <w:rsid w:val="00811FB2"/>
    <w:rsid w:val="00813259"/>
    <w:rsid w:val="008138B2"/>
    <w:rsid w:val="00817210"/>
    <w:rsid w:val="00820306"/>
    <w:rsid w:val="00823901"/>
    <w:rsid w:val="0082555B"/>
    <w:rsid w:val="00826F01"/>
    <w:rsid w:val="00831252"/>
    <w:rsid w:val="00831729"/>
    <w:rsid w:val="008354FC"/>
    <w:rsid w:val="008452D5"/>
    <w:rsid w:val="00845387"/>
    <w:rsid w:val="00845E64"/>
    <w:rsid w:val="00847D99"/>
    <w:rsid w:val="00850643"/>
    <w:rsid w:val="00850E59"/>
    <w:rsid w:val="0085471B"/>
    <w:rsid w:val="0085689A"/>
    <w:rsid w:val="00861283"/>
    <w:rsid w:val="00861471"/>
    <w:rsid w:val="00863170"/>
    <w:rsid w:val="00863AC4"/>
    <w:rsid w:val="00864F95"/>
    <w:rsid w:val="008666B2"/>
    <w:rsid w:val="00866CF3"/>
    <w:rsid w:val="00870543"/>
    <w:rsid w:val="0087078F"/>
    <w:rsid w:val="00871CC5"/>
    <w:rsid w:val="00872367"/>
    <w:rsid w:val="00872E3A"/>
    <w:rsid w:val="00877B0E"/>
    <w:rsid w:val="008801FD"/>
    <w:rsid w:val="008802FD"/>
    <w:rsid w:val="0088162A"/>
    <w:rsid w:val="00884929"/>
    <w:rsid w:val="00885182"/>
    <w:rsid w:val="00886561"/>
    <w:rsid w:val="0089008C"/>
    <w:rsid w:val="00892002"/>
    <w:rsid w:val="00892151"/>
    <w:rsid w:val="00892A51"/>
    <w:rsid w:val="00893380"/>
    <w:rsid w:val="00896A05"/>
    <w:rsid w:val="00896CD9"/>
    <w:rsid w:val="008A155C"/>
    <w:rsid w:val="008A1C55"/>
    <w:rsid w:val="008A1D00"/>
    <w:rsid w:val="008A2958"/>
    <w:rsid w:val="008A3106"/>
    <w:rsid w:val="008A5B60"/>
    <w:rsid w:val="008A5D8F"/>
    <w:rsid w:val="008A608B"/>
    <w:rsid w:val="008A693B"/>
    <w:rsid w:val="008A6D40"/>
    <w:rsid w:val="008A79D7"/>
    <w:rsid w:val="008A7A59"/>
    <w:rsid w:val="008B339D"/>
    <w:rsid w:val="008B4A0A"/>
    <w:rsid w:val="008C14C4"/>
    <w:rsid w:val="008C19DA"/>
    <w:rsid w:val="008D088D"/>
    <w:rsid w:val="008D0F6A"/>
    <w:rsid w:val="008D4DE7"/>
    <w:rsid w:val="008D62CE"/>
    <w:rsid w:val="008E392D"/>
    <w:rsid w:val="008E3AE1"/>
    <w:rsid w:val="008E4B88"/>
    <w:rsid w:val="008F18F5"/>
    <w:rsid w:val="008F262F"/>
    <w:rsid w:val="008F342E"/>
    <w:rsid w:val="008F5CCA"/>
    <w:rsid w:val="008F5EAE"/>
    <w:rsid w:val="008F64EF"/>
    <w:rsid w:val="008F6AEF"/>
    <w:rsid w:val="00902C54"/>
    <w:rsid w:val="00903CD3"/>
    <w:rsid w:val="00904ADF"/>
    <w:rsid w:val="00904C35"/>
    <w:rsid w:val="00905869"/>
    <w:rsid w:val="00914622"/>
    <w:rsid w:val="00916233"/>
    <w:rsid w:val="00926C34"/>
    <w:rsid w:val="00930566"/>
    <w:rsid w:val="0093180D"/>
    <w:rsid w:val="00932C74"/>
    <w:rsid w:val="009348E6"/>
    <w:rsid w:val="00937503"/>
    <w:rsid w:val="00940E72"/>
    <w:rsid w:val="0094212E"/>
    <w:rsid w:val="009423CD"/>
    <w:rsid w:val="00942568"/>
    <w:rsid w:val="00946046"/>
    <w:rsid w:val="00956EA4"/>
    <w:rsid w:val="0095719F"/>
    <w:rsid w:val="00961180"/>
    <w:rsid w:val="009657DF"/>
    <w:rsid w:val="00967967"/>
    <w:rsid w:val="009708AA"/>
    <w:rsid w:val="00972C4F"/>
    <w:rsid w:val="00973BC9"/>
    <w:rsid w:val="0097660B"/>
    <w:rsid w:val="00983ED3"/>
    <w:rsid w:val="009851D8"/>
    <w:rsid w:val="00985B0E"/>
    <w:rsid w:val="00986246"/>
    <w:rsid w:val="00990849"/>
    <w:rsid w:val="00992B55"/>
    <w:rsid w:val="009943E9"/>
    <w:rsid w:val="00994B37"/>
    <w:rsid w:val="00996F53"/>
    <w:rsid w:val="009A094F"/>
    <w:rsid w:val="009A3555"/>
    <w:rsid w:val="009A57E1"/>
    <w:rsid w:val="009A7C03"/>
    <w:rsid w:val="009A7C7D"/>
    <w:rsid w:val="009B29AE"/>
    <w:rsid w:val="009B452C"/>
    <w:rsid w:val="009B4630"/>
    <w:rsid w:val="009B6589"/>
    <w:rsid w:val="009B730F"/>
    <w:rsid w:val="009C0ADD"/>
    <w:rsid w:val="009C0E3D"/>
    <w:rsid w:val="009C1CC8"/>
    <w:rsid w:val="009C40E7"/>
    <w:rsid w:val="009C5877"/>
    <w:rsid w:val="009C5E5C"/>
    <w:rsid w:val="009D242E"/>
    <w:rsid w:val="009D5F3E"/>
    <w:rsid w:val="009D67F4"/>
    <w:rsid w:val="009D6920"/>
    <w:rsid w:val="009D6A95"/>
    <w:rsid w:val="009D7170"/>
    <w:rsid w:val="009E202A"/>
    <w:rsid w:val="009E3A91"/>
    <w:rsid w:val="009E3F99"/>
    <w:rsid w:val="009E636B"/>
    <w:rsid w:val="009E6A9D"/>
    <w:rsid w:val="009E6C37"/>
    <w:rsid w:val="009E7037"/>
    <w:rsid w:val="009F360E"/>
    <w:rsid w:val="009F3CFB"/>
    <w:rsid w:val="009F52F9"/>
    <w:rsid w:val="009F598E"/>
    <w:rsid w:val="00A00000"/>
    <w:rsid w:val="00A02CB6"/>
    <w:rsid w:val="00A03274"/>
    <w:rsid w:val="00A056A8"/>
    <w:rsid w:val="00A07849"/>
    <w:rsid w:val="00A07E78"/>
    <w:rsid w:val="00A135A8"/>
    <w:rsid w:val="00A1402C"/>
    <w:rsid w:val="00A14C66"/>
    <w:rsid w:val="00A157AA"/>
    <w:rsid w:val="00A165B6"/>
    <w:rsid w:val="00A1743E"/>
    <w:rsid w:val="00A17527"/>
    <w:rsid w:val="00A221B9"/>
    <w:rsid w:val="00A229CB"/>
    <w:rsid w:val="00A22D73"/>
    <w:rsid w:val="00A2321A"/>
    <w:rsid w:val="00A248DE"/>
    <w:rsid w:val="00A30AB8"/>
    <w:rsid w:val="00A30B65"/>
    <w:rsid w:val="00A322D5"/>
    <w:rsid w:val="00A32524"/>
    <w:rsid w:val="00A3276E"/>
    <w:rsid w:val="00A35A32"/>
    <w:rsid w:val="00A368B5"/>
    <w:rsid w:val="00A4034B"/>
    <w:rsid w:val="00A41E6D"/>
    <w:rsid w:val="00A42D27"/>
    <w:rsid w:val="00A42FAE"/>
    <w:rsid w:val="00A45AA1"/>
    <w:rsid w:val="00A46E90"/>
    <w:rsid w:val="00A511C8"/>
    <w:rsid w:val="00A53C43"/>
    <w:rsid w:val="00A5463D"/>
    <w:rsid w:val="00A5631D"/>
    <w:rsid w:val="00A57406"/>
    <w:rsid w:val="00A647E5"/>
    <w:rsid w:val="00A64FDF"/>
    <w:rsid w:val="00A65A2E"/>
    <w:rsid w:val="00A665BB"/>
    <w:rsid w:val="00A710A4"/>
    <w:rsid w:val="00A75F9D"/>
    <w:rsid w:val="00A769F6"/>
    <w:rsid w:val="00A82D04"/>
    <w:rsid w:val="00A85973"/>
    <w:rsid w:val="00A85D31"/>
    <w:rsid w:val="00A87597"/>
    <w:rsid w:val="00A918E3"/>
    <w:rsid w:val="00A9203D"/>
    <w:rsid w:val="00A92E05"/>
    <w:rsid w:val="00A954D2"/>
    <w:rsid w:val="00A96817"/>
    <w:rsid w:val="00A971BF"/>
    <w:rsid w:val="00AA34B1"/>
    <w:rsid w:val="00AB3974"/>
    <w:rsid w:val="00AC0FB2"/>
    <w:rsid w:val="00AC1E87"/>
    <w:rsid w:val="00AC2288"/>
    <w:rsid w:val="00AC3D9D"/>
    <w:rsid w:val="00AC64F5"/>
    <w:rsid w:val="00AC710E"/>
    <w:rsid w:val="00AC7A95"/>
    <w:rsid w:val="00AD5531"/>
    <w:rsid w:val="00AD6626"/>
    <w:rsid w:val="00AD6F09"/>
    <w:rsid w:val="00AE02E2"/>
    <w:rsid w:val="00AE08E9"/>
    <w:rsid w:val="00AE1CFD"/>
    <w:rsid w:val="00AE7638"/>
    <w:rsid w:val="00AF417B"/>
    <w:rsid w:val="00B017AA"/>
    <w:rsid w:val="00B0473F"/>
    <w:rsid w:val="00B059ED"/>
    <w:rsid w:val="00B070F2"/>
    <w:rsid w:val="00B07436"/>
    <w:rsid w:val="00B07FEC"/>
    <w:rsid w:val="00B10D62"/>
    <w:rsid w:val="00B12191"/>
    <w:rsid w:val="00B12DFA"/>
    <w:rsid w:val="00B14998"/>
    <w:rsid w:val="00B24512"/>
    <w:rsid w:val="00B246A1"/>
    <w:rsid w:val="00B312F3"/>
    <w:rsid w:val="00B31DB3"/>
    <w:rsid w:val="00B35516"/>
    <w:rsid w:val="00B4132F"/>
    <w:rsid w:val="00B41437"/>
    <w:rsid w:val="00B41BC2"/>
    <w:rsid w:val="00B431C8"/>
    <w:rsid w:val="00B438FA"/>
    <w:rsid w:val="00B449E4"/>
    <w:rsid w:val="00B45559"/>
    <w:rsid w:val="00B4771C"/>
    <w:rsid w:val="00B47A1B"/>
    <w:rsid w:val="00B505CC"/>
    <w:rsid w:val="00B51251"/>
    <w:rsid w:val="00B55830"/>
    <w:rsid w:val="00B55841"/>
    <w:rsid w:val="00B60F47"/>
    <w:rsid w:val="00B6454C"/>
    <w:rsid w:val="00B6700C"/>
    <w:rsid w:val="00B67195"/>
    <w:rsid w:val="00B675A6"/>
    <w:rsid w:val="00B70C97"/>
    <w:rsid w:val="00B711D3"/>
    <w:rsid w:val="00B71226"/>
    <w:rsid w:val="00B72675"/>
    <w:rsid w:val="00B73D20"/>
    <w:rsid w:val="00B74C79"/>
    <w:rsid w:val="00B76DE1"/>
    <w:rsid w:val="00B82E8B"/>
    <w:rsid w:val="00B8583D"/>
    <w:rsid w:val="00B87E76"/>
    <w:rsid w:val="00B91FF7"/>
    <w:rsid w:val="00B933D1"/>
    <w:rsid w:val="00B9488C"/>
    <w:rsid w:val="00B94FBE"/>
    <w:rsid w:val="00B95653"/>
    <w:rsid w:val="00B97B0D"/>
    <w:rsid w:val="00BA4F00"/>
    <w:rsid w:val="00BA5160"/>
    <w:rsid w:val="00BB24E7"/>
    <w:rsid w:val="00BC06C6"/>
    <w:rsid w:val="00BC0D8D"/>
    <w:rsid w:val="00BC11BF"/>
    <w:rsid w:val="00BC2184"/>
    <w:rsid w:val="00BC2FF2"/>
    <w:rsid w:val="00BC7483"/>
    <w:rsid w:val="00BD0606"/>
    <w:rsid w:val="00BD086C"/>
    <w:rsid w:val="00BD0AC1"/>
    <w:rsid w:val="00BD1E60"/>
    <w:rsid w:val="00BE5CC4"/>
    <w:rsid w:val="00BE76ED"/>
    <w:rsid w:val="00BF2328"/>
    <w:rsid w:val="00BF567D"/>
    <w:rsid w:val="00BF5AFF"/>
    <w:rsid w:val="00BF765B"/>
    <w:rsid w:val="00BF79BB"/>
    <w:rsid w:val="00C00A3F"/>
    <w:rsid w:val="00C00C97"/>
    <w:rsid w:val="00C012A2"/>
    <w:rsid w:val="00C01556"/>
    <w:rsid w:val="00C05D3F"/>
    <w:rsid w:val="00C062E6"/>
    <w:rsid w:val="00C131FB"/>
    <w:rsid w:val="00C143F7"/>
    <w:rsid w:val="00C14D6E"/>
    <w:rsid w:val="00C168EC"/>
    <w:rsid w:val="00C17CFA"/>
    <w:rsid w:val="00C20E5B"/>
    <w:rsid w:val="00C217BF"/>
    <w:rsid w:val="00C22E4D"/>
    <w:rsid w:val="00C25349"/>
    <w:rsid w:val="00C2597D"/>
    <w:rsid w:val="00C26BFF"/>
    <w:rsid w:val="00C30AC5"/>
    <w:rsid w:val="00C3606B"/>
    <w:rsid w:val="00C412EF"/>
    <w:rsid w:val="00C45239"/>
    <w:rsid w:val="00C46527"/>
    <w:rsid w:val="00C47AB6"/>
    <w:rsid w:val="00C518DD"/>
    <w:rsid w:val="00C51F79"/>
    <w:rsid w:val="00C531D9"/>
    <w:rsid w:val="00C53381"/>
    <w:rsid w:val="00C54575"/>
    <w:rsid w:val="00C60831"/>
    <w:rsid w:val="00C60CDC"/>
    <w:rsid w:val="00C66570"/>
    <w:rsid w:val="00C669A1"/>
    <w:rsid w:val="00C671CC"/>
    <w:rsid w:val="00C7061E"/>
    <w:rsid w:val="00C70F5E"/>
    <w:rsid w:val="00C73E3D"/>
    <w:rsid w:val="00C74855"/>
    <w:rsid w:val="00C75C66"/>
    <w:rsid w:val="00C812F2"/>
    <w:rsid w:val="00C815F4"/>
    <w:rsid w:val="00C86032"/>
    <w:rsid w:val="00C90DAF"/>
    <w:rsid w:val="00C92F0A"/>
    <w:rsid w:val="00C92F87"/>
    <w:rsid w:val="00C9563E"/>
    <w:rsid w:val="00C96C29"/>
    <w:rsid w:val="00C97DBB"/>
    <w:rsid w:val="00CA4E44"/>
    <w:rsid w:val="00CB1BB5"/>
    <w:rsid w:val="00CC2937"/>
    <w:rsid w:val="00CC666A"/>
    <w:rsid w:val="00CC7CBD"/>
    <w:rsid w:val="00CD1095"/>
    <w:rsid w:val="00CD6406"/>
    <w:rsid w:val="00CD7AB2"/>
    <w:rsid w:val="00CD7ECB"/>
    <w:rsid w:val="00CE0EFF"/>
    <w:rsid w:val="00CE3156"/>
    <w:rsid w:val="00CE3A1C"/>
    <w:rsid w:val="00CE5197"/>
    <w:rsid w:val="00CE729C"/>
    <w:rsid w:val="00CF01F7"/>
    <w:rsid w:val="00CF1364"/>
    <w:rsid w:val="00CF28A5"/>
    <w:rsid w:val="00CF2EA9"/>
    <w:rsid w:val="00CF3E5D"/>
    <w:rsid w:val="00CF40BE"/>
    <w:rsid w:val="00CF4C10"/>
    <w:rsid w:val="00D01F30"/>
    <w:rsid w:val="00D0378A"/>
    <w:rsid w:val="00D0467D"/>
    <w:rsid w:val="00D048D3"/>
    <w:rsid w:val="00D07916"/>
    <w:rsid w:val="00D111AC"/>
    <w:rsid w:val="00D13BD0"/>
    <w:rsid w:val="00D15F6B"/>
    <w:rsid w:val="00D172CB"/>
    <w:rsid w:val="00D17915"/>
    <w:rsid w:val="00D2060D"/>
    <w:rsid w:val="00D2377D"/>
    <w:rsid w:val="00D25BA1"/>
    <w:rsid w:val="00D268A5"/>
    <w:rsid w:val="00D26975"/>
    <w:rsid w:val="00D30DC3"/>
    <w:rsid w:val="00D30E6B"/>
    <w:rsid w:val="00D31113"/>
    <w:rsid w:val="00D318AD"/>
    <w:rsid w:val="00D3377E"/>
    <w:rsid w:val="00D33ABF"/>
    <w:rsid w:val="00D36112"/>
    <w:rsid w:val="00D3747F"/>
    <w:rsid w:val="00D37B8B"/>
    <w:rsid w:val="00D40554"/>
    <w:rsid w:val="00D4123B"/>
    <w:rsid w:val="00D42457"/>
    <w:rsid w:val="00D42EA3"/>
    <w:rsid w:val="00D43B0C"/>
    <w:rsid w:val="00D43B15"/>
    <w:rsid w:val="00D44BEB"/>
    <w:rsid w:val="00D4667C"/>
    <w:rsid w:val="00D47B58"/>
    <w:rsid w:val="00D47D98"/>
    <w:rsid w:val="00D55700"/>
    <w:rsid w:val="00D56308"/>
    <w:rsid w:val="00D57B2C"/>
    <w:rsid w:val="00D634CB"/>
    <w:rsid w:val="00D666F5"/>
    <w:rsid w:val="00D6799E"/>
    <w:rsid w:val="00D7060E"/>
    <w:rsid w:val="00D70B5B"/>
    <w:rsid w:val="00D72DC7"/>
    <w:rsid w:val="00D746E2"/>
    <w:rsid w:val="00D750F4"/>
    <w:rsid w:val="00D75A13"/>
    <w:rsid w:val="00D763A5"/>
    <w:rsid w:val="00D76A1E"/>
    <w:rsid w:val="00D77792"/>
    <w:rsid w:val="00D814E0"/>
    <w:rsid w:val="00D8443A"/>
    <w:rsid w:val="00D85F88"/>
    <w:rsid w:val="00D91733"/>
    <w:rsid w:val="00D92D1D"/>
    <w:rsid w:val="00D93588"/>
    <w:rsid w:val="00D94279"/>
    <w:rsid w:val="00D94535"/>
    <w:rsid w:val="00D96D78"/>
    <w:rsid w:val="00DA2F61"/>
    <w:rsid w:val="00DA4CB2"/>
    <w:rsid w:val="00DA5BAB"/>
    <w:rsid w:val="00DA5C03"/>
    <w:rsid w:val="00DB0498"/>
    <w:rsid w:val="00DB2C7A"/>
    <w:rsid w:val="00DB3B02"/>
    <w:rsid w:val="00DB4CFE"/>
    <w:rsid w:val="00DB5F55"/>
    <w:rsid w:val="00DB61D9"/>
    <w:rsid w:val="00DB6F86"/>
    <w:rsid w:val="00DC20D7"/>
    <w:rsid w:val="00DC4E67"/>
    <w:rsid w:val="00DC7182"/>
    <w:rsid w:val="00DD0A35"/>
    <w:rsid w:val="00DD0AD9"/>
    <w:rsid w:val="00DD1BFB"/>
    <w:rsid w:val="00DD26A5"/>
    <w:rsid w:val="00DD4904"/>
    <w:rsid w:val="00DD6039"/>
    <w:rsid w:val="00DD642C"/>
    <w:rsid w:val="00DE1D75"/>
    <w:rsid w:val="00DE1EB6"/>
    <w:rsid w:val="00DE7920"/>
    <w:rsid w:val="00DE79A8"/>
    <w:rsid w:val="00DF10EE"/>
    <w:rsid w:val="00DF5082"/>
    <w:rsid w:val="00DF5131"/>
    <w:rsid w:val="00DF7191"/>
    <w:rsid w:val="00DF7930"/>
    <w:rsid w:val="00DF7B12"/>
    <w:rsid w:val="00E0329E"/>
    <w:rsid w:val="00E046A0"/>
    <w:rsid w:val="00E05A02"/>
    <w:rsid w:val="00E06575"/>
    <w:rsid w:val="00E068B2"/>
    <w:rsid w:val="00E06FD8"/>
    <w:rsid w:val="00E117EA"/>
    <w:rsid w:val="00E12273"/>
    <w:rsid w:val="00E15E18"/>
    <w:rsid w:val="00E2214D"/>
    <w:rsid w:val="00E268CE"/>
    <w:rsid w:val="00E326B1"/>
    <w:rsid w:val="00E3356C"/>
    <w:rsid w:val="00E33FDE"/>
    <w:rsid w:val="00E35A4D"/>
    <w:rsid w:val="00E35A56"/>
    <w:rsid w:val="00E40F5E"/>
    <w:rsid w:val="00E45DD4"/>
    <w:rsid w:val="00E4621A"/>
    <w:rsid w:val="00E46373"/>
    <w:rsid w:val="00E50837"/>
    <w:rsid w:val="00E521EE"/>
    <w:rsid w:val="00E537F0"/>
    <w:rsid w:val="00E55534"/>
    <w:rsid w:val="00E6199F"/>
    <w:rsid w:val="00E6442F"/>
    <w:rsid w:val="00E66A00"/>
    <w:rsid w:val="00E70011"/>
    <w:rsid w:val="00E70EC1"/>
    <w:rsid w:val="00E7205F"/>
    <w:rsid w:val="00E7425C"/>
    <w:rsid w:val="00E74CD5"/>
    <w:rsid w:val="00E77960"/>
    <w:rsid w:val="00E806AA"/>
    <w:rsid w:val="00E94360"/>
    <w:rsid w:val="00E951E4"/>
    <w:rsid w:val="00EA158C"/>
    <w:rsid w:val="00EA45F5"/>
    <w:rsid w:val="00EA5034"/>
    <w:rsid w:val="00EB2DFD"/>
    <w:rsid w:val="00EB6C32"/>
    <w:rsid w:val="00EC03DB"/>
    <w:rsid w:val="00EC25F1"/>
    <w:rsid w:val="00EC452B"/>
    <w:rsid w:val="00EC52D6"/>
    <w:rsid w:val="00EC5AA7"/>
    <w:rsid w:val="00EC61C8"/>
    <w:rsid w:val="00EC778F"/>
    <w:rsid w:val="00ED5EF2"/>
    <w:rsid w:val="00ED77AE"/>
    <w:rsid w:val="00EE1D0A"/>
    <w:rsid w:val="00EE43F3"/>
    <w:rsid w:val="00EE50EC"/>
    <w:rsid w:val="00EE7030"/>
    <w:rsid w:val="00EF015D"/>
    <w:rsid w:val="00EF02B9"/>
    <w:rsid w:val="00EF1694"/>
    <w:rsid w:val="00EF1EAD"/>
    <w:rsid w:val="00EF2687"/>
    <w:rsid w:val="00EF3105"/>
    <w:rsid w:val="00EF3857"/>
    <w:rsid w:val="00EF3E47"/>
    <w:rsid w:val="00EF6E9C"/>
    <w:rsid w:val="00F002F9"/>
    <w:rsid w:val="00F01D49"/>
    <w:rsid w:val="00F022AB"/>
    <w:rsid w:val="00F036CA"/>
    <w:rsid w:val="00F07C44"/>
    <w:rsid w:val="00F14DB0"/>
    <w:rsid w:val="00F16020"/>
    <w:rsid w:val="00F21E37"/>
    <w:rsid w:val="00F22501"/>
    <w:rsid w:val="00F23396"/>
    <w:rsid w:val="00F260A5"/>
    <w:rsid w:val="00F2634A"/>
    <w:rsid w:val="00F27826"/>
    <w:rsid w:val="00F303BF"/>
    <w:rsid w:val="00F3059C"/>
    <w:rsid w:val="00F30709"/>
    <w:rsid w:val="00F354C4"/>
    <w:rsid w:val="00F36B6D"/>
    <w:rsid w:val="00F436ED"/>
    <w:rsid w:val="00F448FD"/>
    <w:rsid w:val="00F50FF6"/>
    <w:rsid w:val="00F51B3F"/>
    <w:rsid w:val="00F527B0"/>
    <w:rsid w:val="00F56409"/>
    <w:rsid w:val="00F57096"/>
    <w:rsid w:val="00F613F0"/>
    <w:rsid w:val="00F6709C"/>
    <w:rsid w:val="00F72843"/>
    <w:rsid w:val="00F72C9B"/>
    <w:rsid w:val="00F72D96"/>
    <w:rsid w:val="00F7681B"/>
    <w:rsid w:val="00F826A3"/>
    <w:rsid w:val="00F82E7E"/>
    <w:rsid w:val="00F85E86"/>
    <w:rsid w:val="00F94D20"/>
    <w:rsid w:val="00F951F6"/>
    <w:rsid w:val="00F95442"/>
    <w:rsid w:val="00F95744"/>
    <w:rsid w:val="00FA0051"/>
    <w:rsid w:val="00FA47C9"/>
    <w:rsid w:val="00FA4840"/>
    <w:rsid w:val="00FA5E6C"/>
    <w:rsid w:val="00FA62ED"/>
    <w:rsid w:val="00FB0897"/>
    <w:rsid w:val="00FB4582"/>
    <w:rsid w:val="00FC0EE3"/>
    <w:rsid w:val="00FC14AC"/>
    <w:rsid w:val="00FC3455"/>
    <w:rsid w:val="00FC525E"/>
    <w:rsid w:val="00FC6454"/>
    <w:rsid w:val="00FC69C7"/>
    <w:rsid w:val="00FC6AA2"/>
    <w:rsid w:val="00FD0176"/>
    <w:rsid w:val="00FD3C63"/>
    <w:rsid w:val="00FD4325"/>
    <w:rsid w:val="00FD48EE"/>
    <w:rsid w:val="00FD49D9"/>
    <w:rsid w:val="00FE1430"/>
    <w:rsid w:val="00FE1FC5"/>
    <w:rsid w:val="00FE27B9"/>
    <w:rsid w:val="00FE27D2"/>
    <w:rsid w:val="00FE4282"/>
    <w:rsid w:val="00FE7D7F"/>
    <w:rsid w:val="00FF2F2F"/>
    <w:rsid w:val="00FF54A1"/>
    <w:rsid w:val="00FF60ED"/>
    <w:rsid w:val="00FF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287D44"/>
  <w15:docId w15:val="{9E85C0C8-E911-4D3A-9BE4-719D7731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74B"/>
    <w:rPr>
      <w:rFonts w:ascii="Garamond" w:hAnsi="Garamond"/>
      <w:sz w:val="24"/>
      <w:szCs w:val="24"/>
    </w:rPr>
  </w:style>
  <w:style w:type="paragraph" w:styleId="Heading1">
    <w:name w:val="heading 1"/>
    <w:basedOn w:val="Normal"/>
    <w:next w:val="Normal"/>
    <w:link w:val="Heading1Char"/>
    <w:uiPriority w:val="99"/>
    <w:qFormat/>
    <w:rsid w:val="00513775"/>
    <w:pPr>
      <w:outlineLvl w:val="0"/>
    </w:pPr>
    <w:rPr>
      <w:b/>
      <w:color w:val="1F4E79" w:themeColor="accent1" w:themeShade="80"/>
      <w:sz w:val="36"/>
      <w:szCs w:val="26"/>
    </w:rPr>
  </w:style>
  <w:style w:type="paragraph" w:styleId="Heading2">
    <w:name w:val="heading 2"/>
    <w:basedOn w:val="ListParagraph"/>
    <w:next w:val="Normal"/>
    <w:link w:val="Heading2Char"/>
    <w:qFormat/>
    <w:locked/>
    <w:rsid w:val="00BC0D8D"/>
    <w:pPr>
      <w:numPr>
        <w:numId w:val="17"/>
      </w:numPr>
      <w:outlineLvl w:val="1"/>
    </w:pPr>
    <w:rPr>
      <w:b/>
      <w:color w:val="1F4E79" w:themeColor="accent1" w:themeShade="80"/>
    </w:rPr>
  </w:style>
  <w:style w:type="paragraph" w:styleId="Heading3">
    <w:name w:val="heading 3"/>
    <w:basedOn w:val="Normal"/>
    <w:next w:val="Normal"/>
    <w:link w:val="Heading3Char"/>
    <w:qFormat/>
    <w:locked/>
    <w:rsid w:val="003810FC"/>
    <w:pPr>
      <w:keepNext/>
      <w:keepLines/>
      <w:spacing w:before="40"/>
      <w:outlineLvl w:val="2"/>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3775"/>
    <w:rPr>
      <w:rFonts w:ascii="Garamond" w:hAnsi="Garamond"/>
      <w:b/>
      <w:color w:val="1F4E79" w:themeColor="accent1" w:themeShade="80"/>
      <w:sz w:val="36"/>
      <w:szCs w:val="26"/>
    </w:rPr>
  </w:style>
  <w:style w:type="paragraph" w:styleId="EnvelopeAddress">
    <w:name w:val="envelope address"/>
    <w:basedOn w:val="Normal"/>
    <w:uiPriority w:val="99"/>
    <w:rsid w:val="00AE7638"/>
    <w:pPr>
      <w:framePr w:w="7920" w:h="1980" w:hRule="exact" w:hSpace="180" w:wrap="auto" w:hAnchor="page" w:xAlign="center" w:yAlign="bottom"/>
      <w:ind w:left="2880"/>
    </w:pPr>
    <w:rPr>
      <w:rFonts w:cs="Arial"/>
      <w:b/>
      <w:sz w:val="32"/>
      <w:szCs w:val="32"/>
    </w:rPr>
  </w:style>
  <w:style w:type="paragraph" w:styleId="DocumentMap">
    <w:name w:val="Document Map"/>
    <w:basedOn w:val="Normal"/>
    <w:link w:val="DocumentMapChar"/>
    <w:uiPriority w:val="99"/>
    <w:semiHidden/>
    <w:rsid w:val="00AE7638"/>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8F64EF"/>
    <w:rPr>
      <w:rFonts w:cs="Times New Roman"/>
      <w:sz w:val="2"/>
    </w:rPr>
  </w:style>
  <w:style w:type="paragraph" w:styleId="Header">
    <w:name w:val="header"/>
    <w:basedOn w:val="Normal"/>
    <w:link w:val="HeaderChar"/>
    <w:uiPriority w:val="99"/>
    <w:rsid w:val="00AE7638"/>
    <w:pPr>
      <w:tabs>
        <w:tab w:val="center" w:pos="4320"/>
        <w:tab w:val="right" w:pos="8640"/>
      </w:tabs>
    </w:pPr>
    <w:rPr>
      <w:lang w:val="x-none" w:eastAsia="x-none"/>
    </w:rPr>
  </w:style>
  <w:style w:type="character" w:customStyle="1" w:styleId="HeaderChar">
    <w:name w:val="Header Char"/>
    <w:link w:val="Header"/>
    <w:uiPriority w:val="99"/>
    <w:semiHidden/>
    <w:locked/>
    <w:rsid w:val="008F64EF"/>
    <w:rPr>
      <w:rFonts w:cs="Times New Roman"/>
      <w:sz w:val="24"/>
      <w:szCs w:val="24"/>
    </w:rPr>
  </w:style>
  <w:style w:type="paragraph" w:styleId="Footer">
    <w:name w:val="footer"/>
    <w:basedOn w:val="Normal"/>
    <w:link w:val="FooterChar"/>
    <w:uiPriority w:val="99"/>
    <w:rsid w:val="00AE7638"/>
    <w:pPr>
      <w:tabs>
        <w:tab w:val="center" w:pos="4320"/>
        <w:tab w:val="right" w:pos="8640"/>
      </w:tabs>
    </w:pPr>
    <w:rPr>
      <w:lang w:val="x-none" w:eastAsia="x-none"/>
    </w:rPr>
  </w:style>
  <w:style w:type="character" w:customStyle="1" w:styleId="FooterChar">
    <w:name w:val="Footer Char"/>
    <w:link w:val="Footer"/>
    <w:uiPriority w:val="99"/>
    <w:locked/>
    <w:rsid w:val="0077489F"/>
    <w:rPr>
      <w:rFonts w:cs="Times New Roman"/>
      <w:sz w:val="24"/>
      <w:szCs w:val="24"/>
    </w:rPr>
  </w:style>
  <w:style w:type="paragraph" w:styleId="EndnoteText">
    <w:name w:val="endnote text"/>
    <w:basedOn w:val="Normal"/>
    <w:link w:val="EndnoteTextChar"/>
    <w:uiPriority w:val="99"/>
    <w:semiHidden/>
    <w:rsid w:val="00AE7638"/>
    <w:rPr>
      <w:sz w:val="20"/>
      <w:szCs w:val="20"/>
      <w:lang w:val="x-none" w:eastAsia="x-none"/>
    </w:rPr>
  </w:style>
  <w:style w:type="character" w:customStyle="1" w:styleId="EndnoteTextChar">
    <w:name w:val="Endnote Text Char"/>
    <w:link w:val="EndnoteText"/>
    <w:uiPriority w:val="99"/>
    <w:semiHidden/>
    <w:locked/>
    <w:rsid w:val="008F64EF"/>
    <w:rPr>
      <w:rFonts w:cs="Times New Roman"/>
      <w:sz w:val="20"/>
      <w:szCs w:val="20"/>
    </w:rPr>
  </w:style>
  <w:style w:type="character" w:styleId="EndnoteReference">
    <w:name w:val="endnote reference"/>
    <w:uiPriority w:val="99"/>
    <w:semiHidden/>
    <w:rsid w:val="00AE7638"/>
    <w:rPr>
      <w:rFonts w:cs="Times New Roman"/>
      <w:vertAlign w:val="superscript"/>
    </w:rPr>
  </w:style>
  <w:style w:type="paragraph" w:styleId="FootnoteText">
    <w:name w:val="footnote text"/>
    <w:basedOn w:val="Normal"/>
    <w:link w:val="FootnoteTextChar"/>
    <w:rsid w:val="00AE7638"/>
    <w:rPr>
      <w:sz w:val="20"/>
      <w:szCs w:val="20"/>
      <w:lang w:val="x-none" w:eastAsia="x-none"/>
    </w:rPr>
  </w:style>
  <w:style w:type="character" w:customStyle="1" w:styleId="FootnoteTextChar">
    <w:name w:val="Footnote Text Char"/>
    <w:link w:val="FootnoteText"/>
    <w:uiPriority w:val="99"/>
    <w:locked/>
    <w:rsid w:val="008F64EF"/>
    <w:rPr>
      <w:rFonts w:cs="Times New Roman"/>
      <w:sz w:val="20"/>
      <w:szCs w:val="20"/>
    </w:rPr>
  </w:style>
  <w:style w:type="character" w:styleId="FootnoteReference">
    <w:name w:val="footnote reference"/>
    <w:rsid w:val="00AE7638"/>
    <w:rPr>
      <w:rFonts w:cs="Times New Roman"/>
      <w:vertAlign w:val="superscript"/>
    </w:rPr>
  </w:style>
  <w:style w:type="character" w:styleId="Hyperlink">
    <w:name w:val="Hyperlink"/>
    <w:uiPriority w:val="99"/>
    <w:rsid w:val="00AE7638"/>
    <w:rPr>
      <w:rFonts w:cs="Times New Roman"/>
      <w:color w:val="0000FF"/>
      <w:u w:val="single"/>
    </w:rPr>
  </w:style>
  <w:style w:type="paragraph" w:styleId="BodyText2">
    <w:name w:val="Body Text 2"/>
    <w:basedOn w:val="Normal"/>
    <w:link w:val="BodyText2Char"/>
    <w:uiPriority w:val="99"/>
    <w:rsid w:val="00AE7638"/>
    <w:rPr>
      <w:rFonts w:ascii="Times" w:hAnsi="Times"/>
      <w:i/>
      <w:szCs w:val="20"/>
      <w:lang w:val="x-none" w:eastAsia="x-none"/>
    </w:rPr>
  </w:style>
  <w:style w:type="character" w:customStyle="1" w:styleId="BodyText2Char">
    <w:name w:val="Body Text 2 Char"/>
    <w:link w:val="BodyText2"/>
    <w:uiPriority w:val="99"/>
    <w:locked/>
    <w:rsid w:val="00AE7638"/>
    <w:rPr>
      <w:rFonts w:ascii="Times" w:hAnsi="Times" w:cs="Times New Roman"/>
      <w:i/>
      <w:sz w:val="24"/>
    </w:rPr>
  </w:style>
  <w:style w:type="paragraph" w:styleId="BodyText3">
    <w:name w:val="Body Text 3"/>
    <w:basedOn w:val="Normal"/>
    <w:link w:val="BodyText3Char"/>
    <w:uiPriority w:val="99"/>
    <w:rsid w:val="00AE7638"/>
    <w:pPr>
      <w:spacing w:after="120"/>
    </w:pPr>
    <w:rPr>
      <w:rFonts w:ascii="Times" w:hAnsi="Times"/>
      <w:sz w:val="16"/>
      <w:szCs w:val="16"/>
      <w:lang w:val="x-none" w:eastAsia="x-none"/>
    </w:rPr>
  </w:style>
  <w:style w:type="character" w:customStyle="1" w:styleId="BodyText3Char">
    <w:name w:val="Body Text 3 Char"/>
    <w:link w:val="BodyText3"/>
    <w:uiPriority w:val="99"/>
    <w:locked/>
    <w:rsid w:val="00AE7638"/>
    <w:rPr>
      <w:rFonts w:ascii="Times" w:hAnsi="Times" w:cs="Times New Roman"/>
      <w:sz w:val="16"/>
      <w:szCs w:val="16"/>
    </w:rPr>
  </w:style>
  <w:style w:type="paragraph" w:customStyle="1" w:styleId="MediumShading1-Accent11">
    <w:name w:val="Medium Shading 1 - Accent 11"/>
    <w:uiPriority w:val="99"/>
    <w:qFormat/>
    <w:rsid w:val="00AE7638"/>
    <w:rPr>
      <w:rFonts w:ascii="Calibri" w:hAnsi="Calibri"/>
      <w:sz w:val="22"/>
      <w:szCs w:val="22"/>
    </w:rPr>
  </w:style>
  <w:style w:type="character" w:customStyle="1" w:styleId="NoSpacingChar">
    <w:name w:val="No Spacing Char"/>
    <w:uiPriority w:val="1"/>
    <w:rsid w:val="00AE7638"/>
    <w:rPr>
      <w:rFonts w:ascii="Calibri" w:hAnsi="Calibri" w:cs="Times New Roman"/>
      <w:sz w:val="22"/>
      <w:szCs w:val="22"/>
      <w:lang w:val="en-US" w:eastAsia="en-US" w:bidi="ar-SA"/>
    </w:rPr>
  </w:style>
  <w:style w:type="paragraph" w:styleId="BalloonText">
    <w:name w:val="Balloon Text"/>
    <w:basedOn w:val="Normal"/>
    <w:link w:val="BalloonTextChar"/>
    <w:uiPriority w:val="99"/>
    <w:semiHidden/>
    <w:rsid w:val="00AE7638"/>
    <w:rPr>
      <w:rFonts w:ascii="Tahoma" w:hAnsi="Tahoma"/>
      <w:sz w:val="16"/>
      <w:szCs w:val="16"/>
      <w:lang w:val="x-none" w:eastAsia="x-none"/>
    </w:rPr>
  </w:style>
  <w:style w:type="character" w:customStyle="1" w:styleId="BalloonTextChar">
    <w:name w:val="Balloon Text Char"/>
    <w:link w:val="BalloonText"/>
    <w:uiPriority w:val="99"/>
    <w:semiHidden/>
    <w:locked/>
    <w:rsid w:val="00AE7638"/>
    <w:rPr>
      <w:rFonts w:ascii="Tahoma" w:hAnsi="Tahoma" w:cs="Tahoma"/>
      <w:sz w:val="16"/>
      <w:szCs w:val="16"/>
    </w:rPr>
  </w:style>
  <w:style w:type="character" w:styleId="PageNumber">
    <w:name w:val="page number"/>
    <w:uiPriority w:val="99"/>
    <w:rsid w:val="00AE7638"/>
    <w:rPr>
      <w:rFonts w:cs="Times New Roman"/>
    </w:rPr>
  </w:style>
  <w:style w:type="table" w:styleId="TableGrid">
    <w:name w:val="Table Grid"/>
    <w:basedOn w:val="TableNormal"/>
    <w:uiPriority w:val="59"/>
    <w:rsid w:val="00474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1">
    <w:name w:val="msonormal1"/>
    <w:basedOn w:val="Normal"/>
    <w:uiPriority w:val="99"/>
    <w:rsid w:val="00225539"/>
  </w:style>
  <w:style w:type="character" w:customStyle="1" w:styleId="style241">
    <w:name w:val="style241"/>
    <w:uiPriority w:val="99"/>
    <w:rsid w:val="00225539"/>
    <w:rPr>
      <w:rFonts w:cs="Times New Roman"/>
      <w:sz w:val="24"/>
      <w:szCs w:val="24"/>
    </w:rPr>
  </w:style>
  <w:style w:type="paragraph" w:customStyle="1" w:styleId="MediumGrid1-Accent21">
    <w:name w:val="Medium Grid 1 - Accent 21"/>
    <w:basedOn w:val="Normal"/>
    <w:uiPriority w:val="99"/>
    <w:qFormat/>
    <w:rsid w:val="000947A7"/>
    <w:pPr>
      <w:ind w:left="720"/>
      <w:contextualSpacing/>
    </w:pPr>
  </w:style>
  <w:style w:type="paragraph" w:styleId="z-BottomofForm">
    <w:name w:val="HTML Bottom of Form"/>
    <w:basedOn w:val="Normal"/>
    <w:next w:val="Normal"/>
    <w:link w:val="z-BottomofFormChar"/>
    <w:hidden/>
    <w:uiPriority w:val="99"/>
    <w:rsid w:val="003B2F9D"/>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3B2F9D"/>
    <w:rPr>
      <w:rFonts w:ascii="Arial" w:hAnsi="Arial" w:cs="Arial"/>
      <w:vanish/>
      <w:sz w:val="16"/>
      <w:szCs w:val="16"/>
    </w:rPr>
  </w:style>
  <w:style w:type="character" w:styleId="CommentReference">
    <w:name w:val="annotation reference"/>
    <w:uiPriority w:val="99"/>
    <w:semiHidden/>
    <w:unhideWhenUsed/>
    <w:rsid w:val="004C474B"/>
    <w:rPr>
      <w:sz w:val="16"/>
      <w:szCs w:val="16"/>
    </w:rPr>
  </w:style>
  <w:style w:type="paragraph" w:styleId="CommentText">
    <w:name w:val="annotation text"/>
    <w:basedOn w:val="Normal"/>
    <w:link w:val="CommentTextChar"/>
    <w:uiPriority w:val="99"/>
    <w:semiHidden/>
    <w:unhideWhenUsed/>
    <w:rsid w:val="004C474B"/>
    <w:rPr>
      <w:sz w:val="20"/>
      <w:szCs w:val="20"/>
    </w:rPr>
  </w:style>
  <w:style w:type="character" w:customStyle="1" w:styleId="CommentTextChar">
    <w:name w:val="Comment Text Char"/>
    <w:basedOn w:val="DefaultParagraphFont"/>
    <w:link w:val="CommentText"/>
    <w:uiPriority w:val="99"/>
    <w:semiHidden/>
    <w:rsid w:val="004C474B"/>
  </w:style>
  <w:style w:type="paragraph" w:styleId="CommentSubject">
    <w:name w:val="annotation subject"/>
    <w:basedOn w:val="CommentText"/>
    <w:next w:val="CommentText"/>
    <w:link w:val="CommentSubjectChar"/>
    <w:uiPriority w:val="99"/>
    <w:semiHidden/>
    <w:unhideWhenUsed/>
    <w:rsid w:val="004C474B"/>
    <w:rPr>
      <w:b/>
      <w:bCs/>
    </w:rPr>
  </w:style>
  <w:style w:type="character" w:customStyle="1" w:styleId="CommentSubjectChar">
    <w:name w:val="Comment Subject Char"/>
    <w:link w:val="CommentSubject"/>
    <w:uiPriority w:val="99"/>
    <w:semiHidden/>
    <w:rsid w:val="004C474B"/>
    <w:rPr>
      <w:b/>
      <w:bCs/>
    </w:rPr>
  </w:style>
  <w:style w:type="paragraph" w:customStyle="1" w:styleId="Exhibit">
    <w:name w:val="Exhibit"/>
    <w:basedOn w:val="Normal"/>
    <w:qFormat/>
    <w:rsid w:val="00B41BC2"/>
    <w:rPr>
      <w:sz w:val="22"/>
    </w:rPr>
  </w:style>
  <w:style w:type="paragraph" w:customStyle="1" w:styleId="GridTable31">
    <w:name w:val="Grid Table 31"/>
    <w:basedOn w:val="Heading1"/>
    <w:next w:val="Normal"/>
    <w:uiPriority w:val="39"/>
    <w:unhideWhenUsed/>
    <w:qFormat/>
    <w:rsid w:val="003810FC"/>
    <w:pPr>
      <w:keepLines/>
      <w:spacing w:before="240" w:line="259" w:lineRule="auto"/>
      <w:outlineLvl w:val="9"/>
    </w:pPr>
    <w:rPr>
      <w:rFonts w:ascii="Cambria" w:eastAsia="MS Gothic" w:hAnsi="Cambria"/>
      <w:b w:val="0"/>
      <w:color w:val="365F91"/>
      <w:sz w:val="32"/>
      <w:szCs w:val="32"/>
    </w:rPr>
  </w:style>
  <w:style w:type="paragraph" w:styleId="TOC1">
    <w:name w:val="toc 1"/>
    <w:basedOn w:val="Normal"/>
    <w:next w:val="Normal"/>
    <w:autoRedefine/>
    <w:uiPriority w:val="39"/>
    <w:unhideWhenUsed/>
    <w:locked/>
    <w:rsid w:val="009D5F3E"/>
    <w:pPr>
      <w:tabs>
        <w:tab w:val="right" w:leader="dot" w:pos="8630"/>
      </w:tabs>
      <w:spacing w:after="100"/>
    </w:pPr>
    <w:rPr>
      <w:noProof/>
    </w:rPr>
  </w:style>
  <w:style w:type="character" w:customStyle="1" w:styleId="Heading3Char">
    <w:name w:val="Heading 3 Char"/>
    <w:link w:val="Heading3"/>
    <w:semiHidden/>
    <w:rsid w:val="003810FC"/>
    <w:rPr>
      <w:rFonts w:ascii="Cambria" w:eastAsia="MS Gothic" w:hAnsi="Cambria" w:cs="Times New Roman"/>
      <w:color w:val="243F60"/>
      <w:sz w:val="24"/>
      <w:szCs w:val="24"/>
    </w:rPr>
  </w:style>
  <w:style w:type="character" w:customStyle="1" w:styleId="Heading2Char">
    <w:name w:val="Heading 2 Char"/>
    <w:link w:val="Heading2"/>
    <w:rsid w:val="00BC0D8D"/>
    <w:rPr>
      <w:rFonts w:ascii="Garamond" w:hAnsi="Garamond"/>
      <w:b/>
      <w:color w:val="1F4E79" w:themeColor="accent1" w:themeShade="80"/>
      <w:sz w:val="24"/>
      <w:szCs w:val="24"/>
    </w:rPr>
  </w:style>
  <w:style w:type="paragraph" w:customStyle="1" w:styleId="MediumList2-Accent21">
    <w:name w:val="Medium List 2 - Accent 21"/>
    <w:hidden/>
    <w:uiPriority w:val="99"/>
    <w:semiHidden/>
    <w:rsid w:val="002D15DA"/>
    <w:rPr>
      <w:rFonts w:ascii="Garamond" w:hAnsi="Garamond"/>
      <w:sz w:val="24"/>
      <w:szCs w:val="24"/>
    </w:rPr>
  </w:style>
  <w:style w:type="paragraph" w:styleId="ListParagraph">
    <w:name w:val="List Paragraph"/>
    <w:basedOn w:val="Normal"/>
    <w:uiPriority w:val="99"/>
    <w:qFormat/>
    <w:rsid w:val="004A481C"/>
    <w:pPr>
      <w:ind w:left="720"/>
      <w:contextualSpacing/>
    </w:pPr>
  </w:style>
  <w:style w:type="paragraph" w:styleId="Subtitle">
    <w:name w:val="Subtitle"/>
    <w:basedOn w:val="NoSpacing"/>
    <w:next w:val="Normal"/>
    <w:link w:val="SubtitleChar"/>
    <w:uiPriority w:val="11"/>
    <w:qFormat/>
    <w:locked/>
    <w:rsid w:val="002029CF"/>
    <w:rPr>
      <w:rFonts w:eastAsiaTheme="minorHAnsi" w:cstheme="minorBidi"/>
      <w:sz w:val="22"/>
      <w:szCs w:val="22"/>
    </w:rPr>
  </w:style>
  <w:style w:type="character" w:customStyle="1" w:styleId="SubtitleChar">
    <w:name w:val="Subtitle Char"/>
    <w:basedOn w:val="DefaultParagraphFont"/>
    <w:link w:val="Subtitle"/>
    <w:uiPriority w:val="11"/>
    <w:rsid w:val="002029CF"/>
    <w:rPr>
      <w:rFonts w:ascii="Garamond" w:eastAsiaTheme="minorHAnsi" w:hAnsi="Garamond" w:cstheme="minorBidi"/>
      <w:sz w:val="22"/>
      <w:szCs w:val="22"/>
    </w:rPr>
  </w:style>
  <w:style w:type="paragraph" w:styleId="NoSpacing">
    <w:name w:val="No Spacing"/>
    <w:uiPriority w:val="1"/>
    <w:qFormat/>
    <w:rsid w:val="002029CF"/>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0445">
      <w:bodyDiv w:val="1"/>
      <w:marLeft w:val="0"/>
      <w:marRight w:val="0"/>
      <w:marTop w:val="0"/>
      <w:marBottom w:val="0"/>
      <w:divBdr>
        <w:top w:val="none" w:sz="0" w:space="0" w:color="auto"/>
        <w:left w:val="none" w:sz="0" w:space="0" w:color="auto"/>
        <w:bottom w:val="none" w:sz="0" w:space="0" w:color="auto"/>
        <w:right w:val="none" w:sz="0" w:space="0" w:color="auto"/>
      </w:divBdr>
    </w:div>
    <w:div w:id="141821998">
      <w:bodyDiv w:val="1"/>
      <w:marLeft w:val="0"/>
      <w:marRight w:val="0"/>
      <w:marTop w:val="0"/>
      <w:marBottom w:val="0"/>
      <w:divBdr>
        <w:top w:val="none" w:sz="0" w:space="0" w:color="auto"/>
        <w:left w:val="none" w:sz="0" w:space="0" w:color="auto"/>
        <w:bottom w:val="none" w:sz="0" w:space="0" w:color="auto"/>
        <w:right w:val="none" w:sz="0" w:space="0" w:color="auto"/>
      </w:divBdr>
    </w:div>
    <w:div w:id="161355380">
      <w:bodyDiv w:val="1"/>
      <w:marLeft w:val="0"/>
      <w:marRight w:val="0"/>
      <w:marTop w:val="0"/>
      <w:marBottom w:val="0"/>
      <w:divBdr>
        <w:top w:val="none" w:sz="0" w:space="0" w:color="auto"/>
        <w:left w:val="none" w:sz="0" w:space="0" w:color="auto"/>
        <w:bottom w:val="none" w:sz="0" w:space="0" w:color="auto"/>
        <w:right w:val="none" w:sz="0" w:space="0" w:color="auto"/>
      </w:divBdr>
    </w:div>
    <w:div w:id="211425959">
      <w:bodyDiv w:val="1"/>
      <w:marLeft w:val="0"/>
      <w:marRight w:val="0"/>
      <w:marTop w:val="0"/>
      <w:marBottom w:val="0"/>
      <w:divBdr>
        <w:top w:val="none" w:sz="0" w:space="0" w:color="auto"/>
        <w:left w:val="none" w:sz="0" w:space="0" w:color="auto"/>
        <w:bottom w:val="none" w:sz="0" w:space="0" w:color="auto"/>
        <w:right w:val="none" w:sz="0" w:space="0" w:color="auto"/>
      </w:divBdr>
    </w:div>
    <w:div w:id="235864901">
      <w:bodyDiv w:val="1"/>
      <w:marLeft w:val="0"/>
      <w:marRight w:val="0"/>
      <w:marTop w:val="0"/>
      <w:marBottom w:val="0"/>
      <w:divBdr>
        <w:top w:val="none" w:sz="0" w:space="0" w:color="auto"/>
        <w:left w:val="none" w:sz="0" w:space="0" w:color="auto"/>
        <w:bottom w:val="none" w:sz="0" w:space="0" w:color="auto"/>
        <w:right w:val="none" w:sz="0" w:space="0" w:color="auto"/>
      </w:divBdr>
    </w:div>
    <w:div w:id="308635290">
      <w:bodyDiv w:val="1"/>
      <w:marLeft w:val="0"/>
      <w:marRight w:val="0"/>
      <w:marTop w:val="0"/>
      <w:marBottom w:val="0"/>
      <w:divBdr>
        <w:top w:val="none" w:sz="0" w:space="0" w:color="auto"/>
        <w:left w:val="none" w:sz="0" w:space="0" w:color="auto"/>
        <w:bottom w:val="none" w:sz="0" w:space="0" w:color="auto"/>
        <w:right w:val="none" w:sz="0" w:space="0" w:color="auto"/>
      </w:divBdr>
    </w:div>
    <w:div w:id="373192832">
      <w:bodyDiv w:val="1"/>
      <w:marLeft w:val="0"/>
      <w:marRight w:val="0"/>
      <w:marTop w:val="0"/>
      <w:marBottom w:val="0"/>
      <w:divBdr>
        <w:top w:val="none" w:sz="0" w:space="0" w:color="auto"/>
        <w:left w:val="none" w:sz="0" w:space="0" w:color="auto"/>
        <w:bottom w:val="none" w:sz="0" w:space="0" w:color="auto"/>
        <w:right w:val="none" w:sz="0" w:space="0" w:color="auto"/>
      </w:divBdr>
    </w:div>
    <w:div w:id="497889574">
      <w:bodyDiv w:val="1"/>
      <w:marLeft w:val="0"/>
      <w:marRight w:val="0"/>
      <w:marTop w:val="0"/>
      <w:marBottom w:val="0"/>
      <w:divBdr>
        <w:top w:val="none" w:sz="0" w:space="0" w:color="auto"/>
        <w:left w:val="none" w:sz="0" w:space="0" w:color="auto"/>
        <w:bottom w:val="none" w:sz="0" w:space="0" w:color="auto"/>
        <w:right w:val="none" w:sz="0" w:space="0" w:color="auto"/>
      </w:divBdr>
    </w:div>
    <w:div w:id="517817697">
      <w:bodyDiv w:val="1"/>
      <w:marLeft w:val="0"/>
      <w:marRight w:val="0"/>
      <w:marTop w:val="0"/>
      <w:marBottom w:val="0"/>
      <w:divBdr>
        <w:top w:val="none" w:sz="0" w:space="0" w:color="auto"/>
        <w:left w:val="none" w:sz="0" w:space="0" w:color="auto"/>
        <w:bottom w:val="none" w:sz="0" w:space="0" w:color="auto"/>
        <w:right w:val="none" w:sz="0" w:space="0" w:color="auto"/>
      </w:divBdr>
    </w:div>
    <w:div w:id="557518621">
      <w:bodyDiv w:val="1"/>
      <w:marLeft w:val="0"/>
      <w:marRight w:val="0"/>
      <w:marTop w:val="0"/>
      <w:marBottom w:val="0"/>
      <w:divBdr>
        <w:top w:val="none" w:sz="0" w:space="0" w:color="auto"/>
        <w:left w:val="none" w:sz="0" w:space="0" w:color="auto"/>
        <w:bottom w:val="none" w:sz="0" w:space="0" w:color="auto"/>
        <w:right w:val="none" w:sz="0" w:space="0" w:color="auto"/>
      </w:divBdr>
    </w:div>
    <w:div w:id="563371257">
      <w:bodyDiv w:val="1"/>
      <w:marLeft w:val="0"/>
      <w:marRight w:val="0"/>
      <w:marTop w:val="0"/>
      <w:marBottom w:val="0"/>
      <w:divBdr>
        <w:top w:val="none" w:sz="0" w:space="0" w:color="auto"/>
        <w:left w:val="none" w:sz="0" w:space="0" w:color="auto"/>
        <w:bottom w:val="none" w:sz="0" w:space="0" w:color="auto"/>
        <w:right w:val="none" w:sz="0" w:space="0" w:color="auto"/>
      </w:divBdr>
    </w:div>
    <w:div w:id="717826810">
      <w:bodyDiv w:val="1"/>
      <w:marLeft w:val="0"/>
      <w:marRight w:val="0"/>
      <w:marTop w:val="0"/>
      <w:marBottom w:val="0"/>
      <w:divBdr>
        <w:top w:val="none" w:sz="0" w:space="0" w:color="auto"/>
        <w:left w:val="none" w:sz="0" w:space="0" w:color="auto"/>
        <w:bottom w:val="none" w:sz="0" w:space="0" w:color="auto"/>
        <w:right w:val="none" w:sz="0" w:space="0" w:color="auto"/>
      </w:divBdr>
    </w:div>
    <w:div w:id="790435598">
      <w:bodyDiv w:val="1"/>
      <w:marLeft w:val="0"/>
      <w:marRight w:val="0"/>
      <w:marTop w:val="0"/>
      <w:marBottom w:val="0"/>
      <w:divBdr>
        <w:top w:val="none" w:sz="0" w:space="0" w:color="auto"/>
        <w:left w:val="none" w:sz="0" w:space="0" w:color="auto"/>
        <w:bottom w:val="none" w:sz="0" w:space="0" w:color="auto"/>
        <w:right w:val="none" w:sz="0" w:space="0" w:color="auto"/>
      </w:divBdr>
    </w:div>
    <w:div w:id="807278753">
      <w:bodyDiv w:val="1"/>
      <w:marLeft w:val="0"/>
      <w:marRight w:val="0"/>
      <w:marTop w:val="0"/>
      <w:marBottom w:val="0"/>
      <w:divBdr>
        <w:top w:val="none" w:sz="0" w:space="0" w:color="auto"/>
        <w:left w:val="none" w:sz="0" w:space="0" w:color="auto"/>
        <w:bottom w:val="none" w:sz="0" w:space="0" w:color="auto"/>
        <w:right w:val="none" w:sz="0" w:space="0" w:color="auto"/>
      </w:divBdr>
    </w:div>
    <w:div w:id="901796492">
      <w:bodyDiv w:val="1"/>
      <w:marLeft w:val="0"/>
      <w:marRight w:val="0"/>
      <w:marTop w:val="0"/>
      <w:marBottom w:val="0"/>
      <w:divBdr>
        <w:top w:val="none" w:sz="0" w:space="0" w:color="auto"/>
        <w:left w:val="none" w:sz="0" w:space="0" w:color="auto"/>
        <w:bottom w:val="none" w:sz="0" w:space="0" w:color="auto"/>
        <w:right w:val="none" w:sz="0" w:space="0" w:color="auto"/>
      </w:divBdr>
    </w:div>
    <w:div w:id="1016730572">
      <w:bodyDiv w:val="1"/>
      <w:marLeft w:val="0"/>
      <w:marRight w:val="0"/>
      <w:marTop w:val="0"/>
      <w:marBottom w:val="0"/>
      <w:divBdr>
        <w:top w:val="none" w:sz="0" w:space="0" w:color="auto"/>
        <w:left w:val="none" w:sz="0" w:space="0" w:color="auto"/>
        <w:bottom w:val="none" w:sz="0" w:space="0" w:color="auto"/>
        <w:right w:val="none" w:sz="0" w:space="0" w:color="auto"/>
      </w:divBdr>
    </w:div>
    <w:div w:id="1196431985">
      <w:marLeft w:val="0"/>
      <w:marRight w:val="0"/>
      <w:marTop w:val="0"/>
      <w:marBottom w:val="0"/>
      <w:divBdr>
        <w:top w:val="none" w:sz="0" w:space="0" w:color="auto"/>
        <w:left w:val="none" w:sz="0" w:space="0" w:color="auto"/>
        <w:bottom w:val="none" w:sz="0" w:space="0" w:color="auto"/>
        <w:right w:val="none" w:sz="0" w:space="0" w:color="auto"/>
      </w:divBdr>
    </w:div>
    <w:div w:id="1196431986">
      <w:marLeft w:val="0"/>
      <w:marRight w:val="0"/>
      <w:marTop w:val="0"/>
      <w:marBottom w:val="0"/>
      <w:divBdr>
        <w:top w:val="none" w:sz="0" w:space="0" w:color="auto"/>
        <w:left w:val="none" w:sz="0" w:space="0" w:color="auto"/>
        <w:bottom w:val="none" w:sz="0" w:space="0" w:color="auto"/>
        <w:right w:val="none" w:sz="0" w:space="0" w:color="auto"/>
      </w:divBdr>
    </w:div>
    <w:div w:id="1196431987">
      <w:marLeft w:val="0"/>
      <w:marRight w:val="0"/>
      <w:marTop w:val="0"/>
      <w:marBottom w:val="0"/>
      <w:divBdr>
        <w:top w:val="none" w:sz="0" w:space="0" w:color="auto"/>
        <w:left w:val="none" w:sz="0" w:space="0" w:color="auto"/>
        <w:bottom w:val="none" w:sz="0" w:space="0" w:color="auto"/>
        <w:right w:val="none" w:sz="0" w:space="0" w:color="auto"/>
      </w:divBdr>
    </w:div>
    <w:div w:id="1196431988">
      <w:marLeft w:val="0"/>
      <w:marRight w:val="0"/>
      <w:marTop w:val="0"/>
      <w:marBottom w:val="0"/>
      <w:divBdr>
        <w:top w:val="none" w:sz="0" w:space="0" w:color="auto"/>
        <w:left w:val="none" w:sz="0" w:space="0" w:color="auto"/>
        <w:bottom w:val="none" w:sz="0" w:space="0" w:color="auto"/>
        <w:right w:val="none" w:sz="0" w:space="0" w:color="auto"/>
      </w:divBdr>
    </w:div>
    <w:div w:id="1196431989">
      <w:marLeft w:val="0"/>
      <w:marRight w:val="0"/>
      <w:marTop w:val="0"/>
      <w:marBottom w:val="0"/>
      <w:divBdr>
        <w:top w:val="none" w:sz="0" w:space="0" w:color="auto"/>
        <w:left w:val="none" w:sz="0" w:space="0" w:color="auto"/>
        <w:bottom w:val="none" w:sz="0" w:space="0" w:color="auto"/>
        <w:right w:val="none" w:sz="0" w:space="0" w:color="auto"/>
      </w:divBdr>
    </w:div>
    <w:div w:id="1196431990">
      <w:marLeft w:val="0"/>
      <w:marRight w:val="0"/>
      <w:marTop w:val="0"/>
      <w:marBottom w:val="0"/>
      <w:divBdr>
        <w:top w:val="none" w:sz="0" w:space="0" w:color="auto"/>
        <w:left w:val="none" w:sz="0" w:space="0" w:color="auto"/>
        <w:bottom w:val="none" w:sz="0" w:space="0" w:color="auto"/>
        <w:right w:val="none" w:sz="0" w:space="0" w:color="auto"/>
      </w:divBdr>
    </w:div>
    <w:div w:id="1196431991">
      <w:marLeft w:val="0"/>
      <w:marRight w:val="0"/>
      <w:marTop w:val="0"/>
      <w:marBottom w:val="0"/>
      <w:divBdr>
        <w:top w:val="none" w:sz="0" w:space="0" w:color="auto"/>
        <w:left w:val="none" w:sz="0" w:space="0" w:color="auto"/>
        <w:bottom w:val="none" w:sz="0" w:space="0" w:color="auto"/>
        <w:right w:val="none" w:sz="0" w:space="0" w:color="auto"/>
      </w:divBdr>
    </w:div>
    <w:div w:id="1196431992">
      <w:marLeft w:val="0"/>
      <w:marRight w:val="0"/>
      <w:marTop w:val="0"/>
      <w:marBottom w:val="0"/>
      <w:divBdr>
        <w:top w:val="none" w:sz="0" w:space="0" w:color="auto"/>
        <w:left w:val="none" w:sz="0" w:space="0" w:color="auto"/>
        <w:bottom w:val="none" w:sz="0" w:space="0" w:color="auto"/>
        <w:right w:val="none" w:sz="0" w:space="0" w:color="auto"/>
      </w:divBdr>
    </w:div>
    <w:div w:id="1196431993">
      <w:marLeft w:val="0"/>
      <w:marRight w:val="0"/>
      <w:marTop w:val="0"/>
      <w:marBottom w:val="0"/>
      <w:divBdr>
        <w:top w:val="none" w:sz="0" w:space="0" w:color="auto"/>
        <w:left w:val="none" w:sz="0" w:space="0" w:color="auto"/>
        <w:bottom w:val="none" w:sz="0" w:space="0" w:color="auto"/>
        <w:right w:val="none" w:sz="0" w:space="0" w:color="auto"/>
      </w:divBdr>
    </w:div>
    <w:div w:id="1196431994">
      <w:marLeft w:val="0"/>
      <w:marRight w:val="0"/>
      <w:marTop w:val="0"/>
      <w:marBottom w:val="0"/>
      <w:divBdr>
        <w:top w:val="none" w:sz="0" w:space="0" w:color="auto"/>
        <w:left w:val="none" w:sz="0" w:space="0" w:color="auto"/>
        <w:bottom w:val="none" w:sz="0" w:space="0" w:color="auto"/>
        <w:right w:val="none" w:sz="0" w:space="0" w:color="auto"/>
      </w:divBdr>
    </w:div>
    <w:div w:id="1196431995">
      <w:marLeft w:val="0"/>
      <w:marRight w:val="0"/>
      <w:marTop w:val="0"/>
      <w:marBottom w:val="0"/>
      <w:divBdr>
        <w:top w:val="none" w:sz="0" w:space="0" w:color="auto"/>
        <w:left w:val="none" w:sz="0" w:space="0" w:color="auto"/>
        <w:bottom w:val="none" w:sz="0" w:space="0" w:color="auto"/>
        <w:right w:val="none" w:sz="0" w:space="0" w:color="auto"/>
      </w:divBdr>
    </w:div>
    <w:div w:id="1196431996">
      <w:marLeft w:val="0"/>
      <w:marRight w:val="0"/>
      <w:marTop w:val="0"/>
      <w:marBottom w:val="0"/>
      <w:divBdr>
        <w:top w:val="none" w:sz="0" w:space="0" w:color="auto"/>
        <w:left w:val="none" w:sz="0" w:space="0" w:color="auto"/>
        <w:bottom w:val="none" w:sz="0" w:space="0" w:color="auto"/>
        <w:right w:val="none" w:sz="0" w:space="0" w:color="auto"/>
      </w:divBdr>
    </w:div>
    <w:div w:id="1196431997">
      <w:marLeft w:val="0"/>
      <w:marRight w:val="0"/>
      <w:marTop w:val="0"/>
      <w:marBottom w:val="0"/>
      <w:divBdr>
        <w:top w:val="none" w:sz="0" w:space="0" w:color="auto"/>
        <w:left w:val="none" w:sz="0" w:space="0" w:color="auto"/>
        <w:bottom w:val="none" w:sz="0" w:space="0" w:color="auto"/>
        <w:right w:val="none" w:sz="0" w:space="0" w:color="auto"/>
      </w:divBdr>
    </w:div>
    <w:div w:id="1196431999">
      <w:marLeft w:val="0"/>
      <w:marRight w:val="0"/>
      <w:marTop w:val="0"/>
      <w:marBottom w:val="0"/>
      <w:divBdr>
        <w:top w:val="none" w:sz="0" w:space="0" w:color="auto"/>
        <w:left w:val="none" w:sz="0" w:space="0" w:color="auto"/>
        <w:bottom w:val="none" w:sz="0" w:space="0" w:color="auto"/>
        <w:right w:val="none" w:sz="0" w:space="0" w:color="auto"/>
      </w:divBdr>
      <w:divsChild>
        <w:div w:id="1196431998">
          <w:marLeft w:val="0"/>
          <w:marRight w:val="0"/>
          <w:marTop w:val="0"/>
          <w:marBottom w:val="0"/>
          <w:divBdr>
            <w:top w:val="none" w:sz="0" w:space="0" w:color="auto"/>
            <w:left w:val="none" w:sz="0" w:space="0" w:color="auto"/>
            <w:bottom w:val="none" w:sz="0" w:space="0" w:color="auto"/>
            <w:right w:val="none" w:sz="0" w:space="0" w:color="auto"/>
          </w:divBdr>
          <w:divsChild>
            <w:div w:id="11964319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795331">
      <w:bodyDiv w:val="1"/>
      <w:marLeft w:val="0"/>
      <w:marRight w:val="0"/>
      <w:marTop w:val="0"/>
      <w:marBottom w:val="0"/>
      <w:divBdr>
        <w:top w:val="none" w:sz="0" w:space="0" w:color="auto"/>
        <w:left w:val="none" w:sz="0" w:space="0" w:color="auto"/>
        <w:bottom w:val="none" w:sz="0" w:space="0" w:color="auto"/>
        <w:right w:val="none" w:sz="0" w:space="0" w:color="auto"/>
      </w:divBdr>
    </w:div>
    <w:div w:id="1710179097">
      <w:bodyDiv w:val="1"/>
      <w:marLeft w:val="0"/>
      <w:marRight w:val="0"/>
      <w:marTop w:val="0"/>
      <w:marBottom w:val="0"/>
      <w:divBdr>
        <w:top w:val="none" w:sz="0" w:space="0" w:color="auto"/>
        <w:left w:val="none" w:sz="0" w:space="0" w:color="auto"/>
        <w:bottom w:val="none" w:sz="0" w:space="0" w:color="auto"/>
        <w:right w:val="none" w:sz="0" w:space="0" w:color="auto"/>
      </w:divBdr>
    </w:div>
    <w:div w:id="1840465635">
      <w:bodyDiv w:val="1"/>
      <w:marLeft w:val="0"/>
      <w:marRight w:val="0"/>
      <w:marTop w:val="0"/>
      <w:marBottom w:val="0"/>
      <w:divBdr>
        <w:top w:val="none" w:sz="0" w:space="0" w:color="auto"/>
        <w:left w:val="none" w:sz="0" w:space="0" w:color="auto"/>
        <w:bottom w:val="none" w:sz="0" w:space="0" w:color="auto"/>
        <w:right w:val="none" w:sz="0" w:space="0" w:color="auto"/>
      </w:divBdr>
    </w:div>
    <w:div w:id="1873683382">
      <w:bodyDiv w:val="1"/>
      <w:marLeft w:val="0"/>
      <w:marRight w:val="0"/>
      <w:marTop w:val="0"/>
      <w:marBottom w:val="0"/>
      <w:divBdr>
        <w:top w:val="none" w:sz="0" w:space="0" w:color="auto"/>
        <w:left w:val="none" w:sz="0" w:space="0" w:color="auto"/>
        <w:bottom w:val="none" w:sz="0" w:space="0" w:color="auto"/>
        <w:right w:val="none" w:sz="0" w:space="0" w:color="auto"/>
      </w:divBdr>
    </w:div>
    <w:div w:id="1903321775">
      <w:bodyDiv w:val="1"/>
      <w:marLeft w:val="0"/>
      <w:marRight w:val="0"/>
      <w:marTop w:val="0"/>
      <w:marBottom w:val="0"/>
      <w:divBdr>
        <w:top w:val="none" w:sz="0" w:space="0" w:color="auto"/>
        <w:left w:val="none" w:sz="0" w:space="0" w:color="auto"/>
        <w:bottom w:val="none" w:sz="0" w:space="0" w:color="auto"/>
        <w:right w:val="none" w:sz="0" w:space="0" w:color="auto"/>
      </w:divBdr>
    </w:div>
    <w:div w:id="1904365560">
      <w:bodyDiv w:val="1"/>
      <w:marLeft w:val="0"/>
      <w:marRight w:val="0"/>
      <w:marTop w:val="0"/>
      <w:marBottom w:val="0"/>
      <w:divBdr>
        <w:top w:val="none" w:sz="0" w:space="0" w:color="auto"/>
        <w:left w:val="none" w:sz="0" w:space="0" w:color="auto"/>
        <w:bottom w:val="none" w:sz="0" w:space="0" w:color="auto"/>
        <w:right w:val="none" w:sz="0" w:space="0" w:color="auto"/>
      </w:divBdr>
    </w:div>
    <w:div w:id="1964144632">
      <w:bodyDiv w:val="1"/>
      <w:marLeft w:val="0"/>
      <w:marRight w:val="0"/>
      <w:marTop w:val="0"/>
      <w:marBottom w:val="0"/>
      <w:divBdr>
        <w:top w:val="none" w:sz="0" w:space="0" w:color="auto"/>
        <w:left w:val="none" w:sz="0" w:space="0" w:color="auto"/>
        <w:bottom w:val="none" w:sz="0" w:space="0" w:color="auto"/>
        <w:right w:val="none" w:sz="0" w:space="0" w:color="auto"/>
      </w:divBdr>
    </w:div>
    <w:div w:id="2007632784">
      <w:bodyDiv w:val="1"/>
      <w:marLeft w:val="0"/>
      <w:marRight w:val="0"/>
      <w:marTop w:val="0"/>
      <w:marBottom w:val="0"/>
      <w:divBdr>
        <w:top w:val="none" w:sz="0" w:space="0" w:color="auto"/>
        <w:left w:val="none" w:sz="0" w:space="0" w:color="auto"/>
        <w:bottom w:val="none" w:sz="0" w:space="0" w:color="auto"/>
        <w:right w:val="none" w:sz="0" w:space="0" w:color="auto"/>
      </w:divBdr>
    </w:div>
    <w:div w:id="20594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7782-1B40-48F8-865E-D96E8EE6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 contribution</vt:lpstr>
    </vt:vector>
  </TitlesOfParts>
  <Company>Nearing Group</Company>
  <LinksUpToDate>false</LinksUpToDate>
  <CharactersWithSpaces>19486</CharactersWithSpaces>
  <SharedDoc>false</SharedDoc>
  <HLinks>
    <vt:vector size="6" baseType="variant">
      <vt:variant>
        <vt:i4>589840</vt:i4>
      </vt:variant>
      <vt:variant>
        <vt:i4>0</vt:i4>
      </vt:variant>
      <vt:variant>
        <vt:i4>0</vt:i4>
      </vt:variant>
      <vt:variant>
        <vt:i4>5</vt:i4>
      </vt:variant>
      <vt:variant>
        <vt:lpwstr>http://www.dat.state.md.us/sdatweb/homestead.html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contribution</dc:title>
  <dc:subject/>
  <dc:creator>John Duberg</dc:creator>
  <cp:keywords/>
  <dc:description/>
  <cp:lastModifiedBy>Bryce Stevenson</cp:lastModifiedBy>
  <cp:revision>2</cp:revision>
  <cp:lastPrinted>2015-12-01T15:37:00Z</cp:lastPrinted>
  <dcterms:created xsi:type="dcterms:W3CDTF">2018-01-24T19:51:00Z</dcterms:created>
  <dcterms:modified xsi:type="dcterms:W3CDTF">2018-01-24T19:51:00Z</dcterms:modified>
</cp:coreProperties>
</file>